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47" w:rsidRPr="00C7160E" w:rsidRDefault="004D2447" w:rsidP="00C7160E">
      <w:pPr>
        <w:jc w:val="right"/>
        <w:rPr>
          <w:sz w:val="16"/>
          <w:szCs w:val="16"/>
        </w:rPr>
      </w:pPr>
      <w:r w:rsidRPr="00C7160E">
        <w:rPr>
          <w:sz w:val="16"/>
          <w:szCs w:val="16"/>
        </w:rPr>
        <w:t>(opis w języku zajęć)</w:t>
      </w:r>
    </w:p>
    <w:p w:rsidR="004D2447" w:rsidRDefault="004D2447" w:rsidP="0002242F">
      <w:pPr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9"/>
        <w:gridCol w:w="8692"/>
      </w:tblGrid>
      <w:tr w:rsidR="004D2447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Module name</w:t>
            </w:r>
          </w:p>
        </w:tc>
        <w:tc>
          <w:tcPr>
            <w:tcW w:w="8692" w:type="dxa"/>
            <w:shd w:val="clear" w:color="auto" w:fill="C6D9F1"/>
          </w:tcPr>
          <w:p w:rsidR="004D2447" w:rsidRPr="00C6259C" w:rsidRDefault="004D2447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Forensic psychology</w:t>
            </w:r>
          </w:p>
        </w:tc>
      </w:tr>
      <w:tr w:rsidR="004D2447" w:rsidRPr="007E5D2A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 cycle</w:t>
            </w:r>
          </w:p>
        </w:tc>
        <w:tc>
          <w:tcPr>
            <w:tcW w:w="8692" w:type="dxa"/>
            <w:shd w:val="clear" w:color="auto" w:fill="C6D9F1"/>
          </w:tcPr>
          <w:p w:rsidR="004D2447" w:rsidRPr="00EC2712" w:rsidRDefault="004D2447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2712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C271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o</w:t>
            </w:r>
            <w:r w:rsidRPr="00EC2712">
              <w:rPr>
                <w:rFonts w:ascii="Arial" w:hAnsi="Arial" w:cs="Arial"/>
                <w:b/>
                <w:sz w:val="20"/>
                <w:szCs w:val="20"/>
                <w:lang w:val="en-US"/>
              </w:rPr>
              <w:t>, II</w:t>
            </w:r>
            <w:r w:rsidRPr="00EC271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o</w:t>
            </w:r>
            <w:r w:rsidRPr="00EC2712">
              <w:rPr>
                <w:rFonts w:ascii="Arial" w:hAnsi="Arial" w:cs="Arial"/>
                <w:b/>
                <w:sz w:val="20"/>
                <w:szCs w:val="20"/>
                <w:lang w:val="en-US"/>
              </w:rPr>
              <w:t>, unified bachelor's studies</w:t>
            </w: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8692" w:type="dxa"/>
            <w:shd w:val="clear" w:color="auto" w:fill="C6D9F1"/>
          </w:tcPr>
          <w:p w:rsidR="004D2447" w:rsidRPr="00EE4E42" w:rsidRDefault="007E5D2A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2 - </w:t>
            </w:r>
            <w:bookmarkStart w:id="0" w:name="_GoBack"/>
            <w:bookmarkEnd w:id="0"/>
            <w:r w:rsidR="004D244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  <w:tc>
          <w:tcPr>
            <w:tcW w:w="8692" w:type="dxa"/>
            <w:shd w:val="clear" w:color="auto" w:fill="C6D9F1"/>
          </w:tcPr>
          <w:p w:rsidR="004D2447" w:rsidRPr="00EE4E42" w:rsidRDefault="004D2447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points</w:t>
            </w:r>
          </w:p>
        </w:tc>
      </w:tr>
      <w:tr w:rsidR="004D2447" w:rsidRPr="007E5D2A" w:rsidTr="00CC5ABC">
        <w:trPr>
          <w:trHeight w:val="283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 points hour equivalents</w:t>
            </w:r>
          </w:p>
        </w:tc>
        <w:tc>
          <w:tcPr>
            <w:tcW w:w="8692" w:type="dxa"/>
            <w:shd w:val="clear" w:color="auto" w:fill="C6D9F1"/>
          </w:tcPr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15</w:t>
            </w:r>
          </w:p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15</w:t>
            </w:r>
          </w:p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0,5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Non-contact hours (students' own work)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105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number of non-contact hours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105</w:t>
            </w:r>
          </w:p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3,5</w:t>
            </w:r>
          </w:p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number of ECTS points for the module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4</w:t>
            </w: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692" w:type="dxa"/>
            <w:shd w:val="clear" w:color="auto" w:fill="C6D9F1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8692" w:type="dxa"/>
            <w:shd w:val="clear" w:color="auto" w:fill="C6D9F1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4D2447" w:rsidRPr="007E5D2A" w:rsidTr="00CC5ABC">
        <w:trPr>
          <w:trHeight w:val="860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description</w:t>
            </w:r>
          </w:p>
        </w:tc>
        <w:tc>
          <w:tcPr>
            <w:tcW w:w="8692" w:type="dxa"/>
            <w:shd w:val="clear" w:color="auto" w:fill="C6D9F1"/>
          </w:tcPr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t xml:space="preserve">The module covers the knowledge in the area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victimology. It deals especially with so called criminal vitimology (victims of crimes). The area of interests are basic issues (terminology, crime victims' typology, a perpetrator- victim relationship) and specific aspects associated with characteristics of victims of chosen crimes types.</w:t>
            </w:r>
          </w:p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2447" w:rsidRPr="007E5D2A" w:rsidTr="00CC5ABC">
        <w:trPr>
          <w:trHeight w:val="2612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description</w:t>
            </w:r>
          </w:p>
        </w:tc>
        <w:tc>
          <w:tcPr>
            <w:tcW w:w="8692" w:type="dxa"/>
            <w:shd w:val="clear" w:color="auto" w:fill="C6D9F1"/>
          </w:tcPr>
          <w:p w:rsidR="004D2447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lecture covers the following issues: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1. Victimology history, the science and basic terms- 1 h.</w:t>
            </w:r>
          </w:p>
          <w:p w:rsidR="004D2447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 Crime victim profile- the term and its construction, a profile of a typical crime victim (of chosen crimes types)- 2 h.</w:t>
            </w:r>
          </w:p>
          <w:p w:rsidR="004D2447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 Crimes victims typologies- 2 h.</w:t>
            </w:r>
          </w:p>
          <w:p w:rsidR="004D2447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4. A</w:t>
              </w:r>
            </w:smartTag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perpetrator- victim relationship. The role of a victim in describing unknown crime perpetrator- 3 h.</w:t>
            </w:r>
          </w:p>
          <w:p w:rsidR="004D2447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 Victim's role in a crime; a victim as an offender; victim's participation and provocation- 2 h.</w:t>
            </w:r>
          </w:p>
          <w:p w:rsidR="004D2447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 Crimes without victims (consensual crimes)- 1 h.</w:t>
            </w:r>
          </w:p>
          <w:p w:rsidR="004D2447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 Crime victim rights- 2 h.</w:t>
            </w:r>
          </w:p>
          <w:p w:rsidR="004D2447" w:rsidRPr="00C7160E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 Stereotypes in perceiving victims- in general and of chosen types of crimes- 2 h.</w:t>
            </w:r>
          </w:p>
          <w:p w:rsidR="004D2447" w:rsidRPr="00AC455C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4D2447" w:rsidRPr="007E5D2A" w:rsidTr="00CC5ABC">
        <w:trPr>
          <w:trHeight w:val="83"/>
        </w:trPr>
        <w:tc>
          <w:tcPr>
            <w:tcW w:w="0" w:type="auto"/>
            <w:shd w:val="clear" w:color="auto" w:fill="C6D9F1"/>
            <w:vAlign w:val="center"/>
          </w:tcPr>
          <w:p w:rsidR="004D2447" w:rsidRPr="00AC455C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C455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 xml:space="preserve"> list</w:t>
            </w:r>
          </w:p>
        </w:tc>
        <w:tc>
          <w:tcPr>
            <w:tcW w:w="8692" w:type="dxa"/>
            <w:shd w:val="clear" w:color="auto" w:fill="C6D9F1"/>
          </w:tcPr>
          <w:p w:rsidR="004D2447" w:rsidRDefault="004D2447" w:rsidP="00C066CC">
            <w:pPr>
              <w:pStyle w:val="Akapitzlist"/>
              <w:spacing w:after="0" w:line="240" w:lineRule="auto"/>
              <w:ind w:left="232"/>
            </w:pPr>
            <w:smartTag w:uri="urn:schemas-microsoft-com:office:smarttags" w:element="metricconverter">
              <w:smartTagPr>
                <w:attr w:name="ProductID" w:val="1. A"/>
              </w:smartTagPr>
              <w:r w:rsidRPr="00277D4A">
                <w:rPr>
                  <w:rFonts w:ascii="Arial" w:hAnsi="Arial" w:cs="Arial"/>
                  <w:sz w:val="20"/>
                  <w:szCs w:val="20"/>
                  <w:lang w:eastAsia="pl-PL"/>
                </w:rPr>
                <w:t xml:space="preserve">1. </w:t>
              </w:r>
              <w:r>
                <w:t>A</w:t>
              </w:r>
            </w:smartTag>
            <w:r>
              <w:t>. Czerederecka, T. Jaśkiewicz- Obydzińska, J. Wójcikiewicz, Forensic Psychology and Law, Kraków 2000</w:t>
            </w:r>
          </w:p>
          <w:p w:rsidR="004D2447" w:rsidRPr="00C066CC" w:rsidRDefault="004D2447" w:rsidP="00C066CC">
            <w:pPr>
              <w:pStyle w:val="Akapitzlist"/>
              <w:spacing w:after="0" w:line="240" w:lineRule="auto"/>
              <w:ind w:left="232"/>
              <w:rPr>
                <w:lang w:val="en-US"/>
              </w:rPr>
            </w:pPr>
            <w:r w:rsidRPr="007619F4">
              <w:rPr>
                <w:lang w:val="en-US"/>
              </w:rPr>
              <w:t xml:space="preserve">2. </w:t>
            </w:r>
            <w:r w:rsidRPr="007619F4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lang w:val="en-US"/>
              </w:rPr>
              <w:t>A. F. Greene</w:t>
            </w:r>
            <w:r w:rsidRPr="00FD71BB">
              <w:rPr>
                <w:lang w:val="en-US"/>
              </w:rPr>
              <w:t xml:space="preserve">, </w:t>
            </w:r>
            <w:r>
              <w:rPr>
                <w:lang w:val="en-US"/>
              </w:rPr>
              <w:t>T. F. Lynch,</w:t>
            </w:r>
            <w:r w:rsidRPr="00FD71BB">
              <w:rPr>
                <w:lang w:val="en-US"/>
              </w:rPr>
              <w:t xml:space="preserve"> </w:t>
            </w:r>
            <w:r>
              <w:rPr>
                <w:lang w:val="en-US"/>
              </w:rPr>
              <w:t>B. Decker,</w:t>
            </w:r>
            <w:r w:rsidRPr="00FD71BB">
              <w:rPr>
                <w:lang w:val="en-US"/>
              </w:rPr>
              <w:t xml:space="preserve"> A Psychobiological Theoretical Characterization of Interpersonal Violence Offenders. </w:t>
            </w:r>
            <w:r w:rsidRPr="00C066CC">
              <w:rPr>
                <w:lang w:val="en-US"/>
              </w:rPr>
              <w:t>Aggression and Violent Behavior 1997, Vol. 2, No 3, s. 278</w:t>
            </w:r>
          </w:p>
          <w:p w:rsidR="004D2447" w:rsidRPr="00C066CC" w:rsidRDefault="004D2447" w:rsidP="00C066CC">
            <w:pPr>
              <w:pStyle w:val="Akapitzlist"/>
              <w:spacing w:after="0" w:line="240" w:lineRule="auto"/>
              <w:ind w:left="232"/>
              <w:rPr>
                <w:lang w:val="en-US"/>
              </w:rPr>
            </w:pPr>
            <w:r w:rsidRPr="004B1DA0">
              <w:rPr>
                <w:lang w:val="en-US"/>
              </w:rPr>
              <w:t xml:space="preserve">3. Borland M. (red.): Violence in the Family. </w:t>
            </w:r>
            <w:r w:rsidRPr="00C066CC">
              <w:rPr>
                <w:lang w:val="en-US"/>
              </w:rPr>
              <w:t>Manchester 1976</w:t>
            </w:r>
          </w:p>
          <w:p w:rsidR="004D2447" w:rsidRDefault="004D2447" w:rsidP="00C066CC">
            <w:pPr>
              <w:pStyle w:val="Akapitzlist"/>
              <w:spacing w:after="0" w:line="240" w:lineRule="auto"/>
              <w:ind w:left="232"/>
              <w:rPr>
                <w:lang w:val="en-US"/>
              </w:rPr>
            </w:pPr>
            <w:r w:rsidRPr="004B1DA0">
              <w:rPr>
                <w:lang w:val="en-US"/>
              </w:rPr>
              <w:t xml:space="preserve">4. </w:t>
            </w:r>
            <w:r w:rsidRPr="009D142A">
              <w:rPr>
                <w:lang w:val="en-US"/>
              </w:rPr>
              <w:t>Davidoff L.L., Introduction to psychology, Nowy Jork i in. 1987</w:t>
            </w:r>
          </w:p>
          <w:p w:rsidR="004D2447" w:rsidRDefault="004D2447" w:rsidP="00C066CC">
            <w:pPr>
              <w:pStyle w:val="Akapitzlist"/>
              <w:spacing w:after="0" w:line="240" w:lineRule="auto"/>
              <w:ind w:left="23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5. </w:t>
            </w:r>
            <w:r>
              <w:rPr>
                <w:lang w:val="en-US"/>
              </w:rPr>
              <w:t>Morrison V.,</w:t>
            </w:r>
            <w:r w:rsidRPr="00211BCD">
              <w:rPr>
                <w:lang w:val="en-US"/>
              </w:rPr>
              <w:t xml:space="preserve"> Bennet</w:t>
            </w:r>
            <w:r>
              <w:rPr>
                <w:lang w:val="en-US"/>
              </w:rPr>
              <w:t xml:space="preserve"> P.</w:t>
            </w:r>
            <w:r w:rsidRPr="00211BCD">
              <w:rPr>
                <w:lang w:val="en-US"/>
              </w:rPr>
              <w:t xml:space="preserve">, An Introduction to Heath Psychology, </w:t>
            </w:r>
            <w:smartTag w:uri="urn:schemas-microsoft-com:office:smarttags" w:element="place">
              <w:r w:rsidRPr="00211BCD">
                <w:rPr>
                  <w:lang w:val="en-US"/>
                </w:rPr>
                <w:t>Harlow</w:t>
              </w:r>
            </w:smartTag>
            <w:r w:rsidRPr="00211BCD">
              <w:rPr>
                <w:lang w:val="en-US"/>
              </w:rPr>
              <w:t xml:space="preserve"> i in. 2006</w:t>
            </w:r>
          </w:p>
          <w:p w:rsidR="004D2447" w:rsidRDefault="004D2447" w:rsidP="00C066CC">
            <w:pPr>
              <w:pStyle w:val="Akapitzlist"/>
              <w:spacing w:after="0" w:line="240" w:lineRule="auto"/>
              <w:ind w:left="232"/>
              <w:rPr>
                <w:lang w:val="en-US"/>
              </w:rPr>
            </w:pPr>
            <w:r w:rsidRPr="00512A4F">
              <w:rPr>
                <w:lang w:val="en-US"/>
              </w:rPr>
              <w:t>6. D. Morrison, P. Gilbert, Social rank, shame and anger in</w:t>
            </w:r>
            <w:r>
              <w:rPr>
                <w:lang w:val="en-US"/>
              </w:rPr>
              <w:t xml:space="preserve"> </w:t>
            </w:r>
            <w:r w:rsidRPr="00512A4F">
              <w:rPr>
                <w:lang w:val="en-US"/>
              </w:rPr>
              <w:t>primary and secondary</w:t>
            </w:r>
            <w:r>
              <w:rPr>
                <w:lang w:val="en-US"/>
              </w:rPr>
              <w:t xml:space="preserve"> </w:t>
            </w:r>
            <w:r w:rsidRPr="00512A4F">
              <w:rPr>
                <w:lang w:val="en-US"/>
              </w:rPr>
              <w:t>psychopaths</w:t>
            </w:r>
            <w:r>
              <w:rPr>
                <w:lang w:val="en-US"/>
              </w:rPr>
              <w:t xml:space="preserve">, </w:t>
            </w:r>
            <w:r w:rsidRPr="00512A4F">
              <w:rPr>
                <w:lang w:val="en-US"/>
              </w:rPr>
              <w:t>The Journal of Forensic Psychiatry Vol 12 No 2 September 2001</w:t>
            </w:r>
            <w:r>
              <w:rPr>
                <w:lang w:val="en-US"/>
              </w:rPr>
              <w:t>, pp.</w:t>
            </w:r>
            <w:r w:rsidRPr="00512A4F">
              <w:rPr>
                <w:lang w:val="en-US"/>
              </w:rPr>
              <w:t xml:space="preserve"> 330–356</w:t>
            </w:r>
          </w:p>
          <w:p w:rsidR="004D2447" w:rsidRPr="00AC455C" w:rsidRDefault="004D2447" w:rsidP="00C066CC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12A4F">
                <w:rPr>
                  <w:lang w:val="de-DE"/>
                </w:rPr>
                <w:t>7. M</w:t>
              </w:r>
            </w:smartTag>
            <w:r w:rsidRPr="00512A4F">
              <w:rPr>
                <w:lang w:val="de-DE"/>
              </w:rPr>
              <w:t xml:space="preserve">. Dudeck, C spitzer, M.  </w:t>
            </w:r>
            <w:r w:rsidRPr="00512A4F">
              <w:rPr>
                <w:lang w:val="en-US"/>
              </w:rPr>
              <w:t xml:space="preserve">Stopsack, H.J. Freyberger,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512A4F">
                <w:rPr>
                  <w:lang w:val="en-US"/>
                </w:rPr>
                <w:t>S. Barnow</w:t>
              </w:r>
            </w:smartTag>
            <w:r>
              <w:rPr>
                <w:lang w:val="en-US"/>
              </w:rPr>
              <w:t xml:space="preserve">, </w:t>
            </w:r>
            <w:r w:rsidRPr="00512A4F">
              <w:rPr>
                <w:lang w:val="en-US"/>
              </w:rPr>
              <w:t>Forensic inpatient male sexual offenders: The impact of personality disorder and</w:t>
            </w:r>
            <w:r>
              <w:rPr>
                <w:lang w:val="en-US"/>
              </w:rPr>
              <w:t xml:space="preserve"> </w:t>
            </w:r>
            <w:r w:rsidRPr="00512A4F">
              <w:rPr>
                <w:lang w:val="en-US"/>
              </w:rPr>
              <w:t>childhood sexual abuse</w:t>
            </w:r>
            <w:r>
              <w:rPr>
                <w:lang w:val="en-US"/>
              </w:rPr>
              <w:t xml:space="preserve">, </w:t>
            </w:r>
            <w:r w:rsidRPr="00512A4F">
              <w:rPr>
                <w:lang w:val="en-US"/>
              </w:rPr>
              <w:t>The Journal of Forensic Psychiatr</w:t>
            </w:r>
            <w:r>
              <w:rPr>
                <w:lang w:val="en-US"/>
              </w:rPr>
              <w:t>y &amp; Psychology 2007; 18(4), pp.</w:t>
            </w:r>
            <w:r w:rsidRPr="00512A4F">
              <w:rPr>
                <w:lang w:val="en-US"/>
              </w:rPr>
              <w:t xml:space="preserve"> 494 – 506</w:t>
            </w:r>
          </w:p>
        </w:tc>
      </w:tr>
      <w:tr w:rsidR="004D2447" w:rsidRPr="007E5D2A" w:rsidTr="00CC5ABC">
        <w:trPr>
          <w:trHeight w:val="1873"/>
        </w:trPr>
        <w:tc>
          <w:tcPr>
            <w:tcW w:w="0" w:type="auto"/>
            <w:shd w:val="clear" w:color="auto" w:fill="C6D9F1"/>
            <w:vAlign w:val="center"/>
          </w:tcPr>
          <w:p w:rsidR="004D2447" w:rsidRPr="00AC455C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8692" w:type="dxa"/>
            <w:shd w:val="clear" w:color="auto" w:fill="C6D9F1"/>
          </w:tcPr>
          <w:p w:rsidR="004D2447" w:rsidRPr="00AC455C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4D2447" w:rsidRPr="00816856" w:rsidRDefault="004D2447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816856"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1. </w:t>
              </w:r>
              <w:r w:rsidRPr="00816856"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A</w:t>
              </w:r>
            </w:smartTag>
            <w:r w:rsidRPr="0081685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student can define basic terms of forensic psychology;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knows and describes basic mechanisms of human being's development and functioning </w:t>
            </w:r>
            <w:r w:rsidRPr="00816856">
              <w:rPr>
                <w:lang w:val="en-US"/>
              </w:rPr>
              <w:t>K_W01, K_W05, K_W06,K_W07, K_W11, K_W12</w:t>
            </w:r>
          </w:p>
          <w:p w:rsidR="004D2447" w:rsidRPr="00816856" w:rsidRDefault="004D2447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642B2A">
                <w:rPr>
                  <w:lang w:val="en-US"/>
                </w:rPr>
                <w:t>2. A</w:t>
              </w:r>
            </w:smartTag>
            <w:r w:rsidRPr="00642B2A">
              <w:rPr>
                <w:lang w:val="en-US"/>
              </w:rPr>
              <w:t xml:space="preserve"> student </w:t>
            </w:r>
            <w:r>
              <w:rPr>
                <w:lang w:val="en-US"/>
              </w:rPr>
              <w:t xml:space="preserve">knows legal basis and competence of forensic psychologist in criminal and civil procedure </w:t>
            </w:r>
            <w:r w:rsidRPr="00816856">
              <w:rPr>
                <w:lang w:val="en-US"/>
              </w:rPr>
              <w:t>K_W01, K_W05, K_W06, K_W09, K_W10,K_W12</w:t>
            </w:r>
          </w:p>
          <w:p w:rsidR="004D2447" w:rsidRPr="003B3509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lang w:val="en-US"/>
                </w:rPr>
                <w:lastRenderedPageBreak/>
                <w:t>3. A</w:t>
              </w:r>
            </w:smartTag>
            <w:r>
              <w:rPr>
                <w:lang w:val="en-US"/>
              </w:rPr>
              <w:t xml:space="preserve"> student can list basic factors that correlates with aggressive and criminal behavior  K_W06,K_W07, </w:t>
            </w:r>
            <w:r w:rsidRPr="003B3509">
              <w:rPr>
                <w:lang w:val="en-US"/>
              </w:rPr>
              <w:t>K_W12</w:t>
            </w:r>
          </w:p>
          <w:p w:rsidR="004D2447" w:rsidRPr="00AC455C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4D2447" w:rsidRPr="007D66F1" w:rsidRDefault="004D2447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1. </w:t>
              </w:r>
              <w: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A</w:t>
              </w:r>
            </w:smartTag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student is able to recognize symptoms of human being dysfunction </w:t>
            </w:r>
            <w:r w:rsidRPr="007D66F1">
              <w:rPr>
                <w:lang w:val="en-US"/>
              </w:rPr>
              <w:t>K_U01, K_U08, K_U11, K_U12, K_U13</w:t>
            </w:r>
          </w:p>
          <w:p w:rsidR="004D2447" w:rsidRPr="007D66F1" w:rsidRDefault="004D2447" w:rsidP="007D66F1">
            <w:pPr>
              <w:rPr>
                <w:lang w:val="en-US"/>
              </w:rPr>
            </w:pPr>
            <w:r>
              <w:rPr>
                <w:lang w:val="en-US"/>
              </w:rPr>
              <w:t xml:space="preserve">2.  A student is able to analyze and interpret psychological terms as far as law norms are concerned </w:t>
            </w:r>
            <w:r w:rsidRPr="007D66F1">
              <w:rPr>
                <w:lang w:val="en-US"/>
              </w:rPr>
              <w:t>K_U01, K_U02, K_U03, K_U04,  K_U05, K_U06, K_U07, K_U08, , K_U09, K_U10, K_U11, K_U13</w:t>
            </w:r>
          </w:p>
          <w:p w:rsidR="004D2447" w:rsidRPr="00AC455C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1. </w:t>
              </w:r>
              <w: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A</w:t>
              </w:r>
            </w:smartTag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student understands the need of permanent education; </w:t>
            </w:r>
            <w:r w:rsidRPr="00E1508F">
              <w:rPr>
                <w:lang w:val="en-US"/>
              </w:rPr>
              <w:t>K_K01, K_K02, K_K11,K_K12</w:t>
            </w: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lang w:val="en-US"/>
                </w:rPr>
                <w:t>2. A</w:t>
              </w:r>
            </w:smartTag>
            <w:r>
              <w:rPr>
                <w:lang w:val="en-US"/>
              </w:rPr>
              <w:t xml:space="preserve"> student is sensitive to other people problems; </w:t>
            </w:r>
            <w:r w:rsidRPr="00E1508F">
              <w:rPr>
                <w:lang w:val="en-US"/>
              </w:rPr>
              <w:t>K_K03, K_K05, K_K07, K_K08, K_K09, K_K12</w:t>
            </w:r>
          </w:p>
          <w:p w:rsidR="004D2447" w:rsidRPr="00E1508F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A student is conscious of necessity of improving her/his knowledge and skills; can assume his/her own level of competence and points out directions of her/his own development </w:t>
            </w:r>
            <w:r w:rsidRPr="007A1846">
              <w:rPr>
                <w:rFonts w:ascii="Arial" w:hAnsi="Arial" w:cs="Arial"/>
                <w:sz w:val="20"/>
                <w:szCs w:val="20"/>
                <w:lang w:val="en-US"/>
              </w:rPr>
              <w:t>K_K01, K_K02</w:t>
            </w:r>
          </w:p>
          <w:p w:rsidR="004D2447" w:rsidRPr="00AC455C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2447" w:rsidRPr="00AC455C" w:rsidTr="00CC5ABC">
        <w:trPr>
          <w:trHeight w:val="626"/>
        </w:trPr>
        <w:tc>
          <w:tcPr>
            <w:tcW w:w="0" w:type="auto"/>
            <w:shd w:val="clear" w:color="auto" w:fill="C6D9F1"/>
            <w:vAlign w:val="center"/>
          </w:tcPr>
          <w:p w:rsidR="004D2447" w:rsidRPr="00AC455C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Assessment methods and criteria</w:t>
            </w:r>
          </w:p>
        </w:tc>
        <w:tc>
          <w:tcPr>
            <w:tcW w:w="8692" w:type="dxa"/>
            <w:shd w:val="clear" w:color="auto" w:fill="C6D9F1"/>
          </w:tcPr>
          <w:p w:rsidR="004D2447" w:rsidRPr="00AC455C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Presence and activity</w:t>
            </w:r>
          </w:p>
        </w:tc>
      </w:tr>
      <w:tr w:rsidR="004D2447" w:rsidRPr="007E5D2A" w:rsidTr="00CC5ABC">
        <w:trPr>
          <w:trHeight w:val="698"/>
        </w:trPr>
        <w:tc>
          <w:tcPr>
            <w:tcW w:w="0" w:type="auto"/>
            <w:shd w:val="clear" w:color="auto" w:fill="C6D9F1"/>
            <w:vAlign w:val="center"/>
          </w:tcPr>
          <w:p w:rsidR="004D2447" w:rsidRPr="00AC455C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8692" w:type="dxa"/>
            <w:shd w:val="clear" w:color="auto" w:fill="C6D9F1"/>
          </w:tcPr>
          <w:p w:rsidR="004D2447" w:rsidRPr="00AC455C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informative lecture, discussion, solving problems, case study</w:t>
            </w:r>
          </w:p>
        </w:tc>
      </w:tr>
      <w:tr w:rsidR="004D2447" w:rsidRPr="007E5D2A" w:rsidTr="00CC5ABC">
        <w:trPr>
          <w:trHeight w:val="1764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cational outcomes verification methods</w:t>
            </w:r>
          </w:p>
        </w:tc>
        <w:tc>
          <w:tcPr>
            <w:tcW w:w="8692" w:type="dxa"/>
            <w:shd w:val="clear" w:color="auto" w:fill="C6D9F1"/>
          </w:tcPr>
          <w:p w:rsidR="004D2447" w:rsidRPr="00923ACD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ACD">
              <w:rPr>
                <w:rFonts w:ascii="Arial" w:hAnsi="Arial" w:cs="Arial"/>
                <w:sz w:val="20"/>
                <w:szCs w:val="20"/>
                <w:lang w:val="en-US"/>
              </w:rPr>
              <w:t xml:space="preserve">All effects-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discussion, solving problems, case study</w:t>
            </w: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Prerequisites</w:t>
            </w:r>
          </w:p>
        </w:tc>
        <w:tc>
          <w:tcPr>
            <w:tcW w:w="8692" w:type="dxa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692" w:type="dxa"/>
            <w:shd w:val="clear" w:color="auto" w:fill="C6D9F1"/>
            <w:noWrap/>
            <w:vAlign w:val="bottom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classes</w:t>
            </w:r>
          </w:p>
        </w:tc>
        <w:tc>
          <w:tcPr>
            <w:tcW w:w="8692" w:type="dxa"/>
            <w:shd w:val="clear" w:color="auto" w:fill="FFFF99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teacher</w:t>
            </w:r>
          </w:p>
        </w:tc>
        <w:tc>
          <w:tcPr>
            <w:tcW w:w="8692" w:type="dxa"/>
            <w:shd w:val="clear" w:color="auto" w:fill="FFFF99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</w:t>
            </w:r>
          </w:p>
        </w:tc>
        <w:tc>
          <w:tcPr>
            <w:tcW w:w="8692" w:type="dxa"/>
            <w:shd w:val="clear" w:color="auto" w:fill="FFFF99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1543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FFFF99"/>
          </w:tcPr>
          <w:p w:rsidR="004D2447" w:rsidRPr="0080743F" w:rsidRDefault="004D2447" w:rsidP="00CC5ABC">
            <w:pPr>
              <w:pStyle w:val="Akapitzlist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outcomes</w:t>
            </w:r>
          </w:p>
        </w:tc>
        <w:tc>
          <w:tcPr>
            <w:tcW w:w="8692" w:type="dxa"/>
            <w:shd w:val="clear" w:color="auto" w:fill="FFFF99"/>
          </w:tcPr>
          <w:p w:rsidR="004D2447" w:rsidRPr="000942E0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447" w:rsidRPr="000942E0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447" w:rsidRPr="00A74724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ATTITUDES</w:t>
            </w:r>
          </w:p>
          <w:p w:rsidR="004D2447" w:rsidRPr="0039018F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methods</w:t>
            </w:r>
          </w:p>
        </w:tc>
        <w:tc>
          <w:tcPr>
            <w:tcW w:w="8692" w:type="dxa"/>
            <w:shd w:val="clear" w:color="auto" w:fill="FFFF99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1810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list of topics</w:t>
            </w:r>
          </w:p>
        </w:tc>
        <w:tc>
          <w:tcPr>
            <w:tcW w:w="8692" w:type="dxa"/>
            <w:shd w:val="clear" w:color="auto" w:fill="FFFF99"/>
          </w:tcPr>
          <w:p w:rsidR="004D2447" w:rsidRPr="00872A41" w:rsidRDefault="004D2447" w:rsidP="00CC5A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methods</w:t>
            </w:r>
          </w:p>
        </w:tc>
        <w:tc>
          <w:tcPr>
            <w:tcW w:w="8692" w:type="dxa"/>
            <w:shd w:val="clear" w:color="auto" w:fill="FFFF99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classes</w:t>
            </w:r>
          </w:p>
        </w:tc>
        <w:tc>
          <w:tcPr>
            <w:tcW w:w="8692" w:type="dxa"/>
            <w:shd w:val="clear" w:color="auto" w:fill="D6E3BC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teacher</w:t>
            </w:r>
          </w:p>
        </w:tc>
        <w:tc>
          <w:tcPr>
            <w:tcW w:w="8692" w:type="dxa"/>
            <w:shd w:val="clear" w:color="auto" w:fill="D6E3BC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XXXXXXX </w:t>
            </w: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hours</w:t>
            </w:r>
          </w:p>
        </w:tc>
        <w:tc>
          <w:tcPr>
            <w:tcW w:w="8692" w:type="dxa"/>
            <w:shd w:val="clear" w:color="auto" w:fill="D6E3BC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364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D6E3BC"/>
          </w:tcPr>
          <w:p w:rsidR="004D2447" w:rsidRPr="00AB7133" w:rsidRDefault="004D2447" w:rsidP="00CC5ABC">
            <w:pPr>
              <w:pStyle w:val="Akapitzlist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outcomes</w:t>
            </w:r>
          </w:p>
        </w:tc>
        <w:tc>
          <w:tcPr>
            <w:tcW w:w="8692" w:type="dxa"/>
            <w:shd w:val="clear" w:color="auto" w:fill="D6E3BC"/>
          </w:tcPr>
          <w:p w:rsidR="004D2447" w:rsidRPr="000942E0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447" w:rsidRPr="000942E0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  <w:p w:rsidR="004D2447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447" w:rsidRPr="00A74724" w:rsidRDefault="004D2447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ATTITUDES</w:t>
            </w:r>
          </w:p>
          <w:p w:rsidR="004D2447" w:rsidRPr="00AB7133" w:rsidRDefault="004D2447" w:rsidP="00CC5ABC">
            <w:pPr>
              <w:spacing w:after="0" w:line="240" w:lineRule="auto"/>
              <w:ind w:left="232" w:hanging="2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4D2447" w:rsidRPr="00A75F5E" w:rsidTr="00CC5ABC">
        <w:trPr>
          <w:trHeight w:val="498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methods</w:t>
            </w:r>
          </w:p>
        </w:tc>
        <w:tc>
          <w:tcPr>
            <w:tcW w:w="8692" w:type="dxa"/>
            <w:shd w:val="clear" w:color="auto" w:fill="D6E3BC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1624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list of topics</w:t>
            </w:r>
          </w:p>
        </w:tc>
        <w:tc>
          <w:tcPr>
            <w:tcW w:w="8692" w:type="dxa"/>
            <w:shd w:val="clear" w:color="auto" w:fill="D6E3BC"/>
          </w:tcPr>
          <w:p w:rsidR="004D2447" w:rsidRPr="00B71ABD" w:rsidRDefault="004D2447" w:rsidP="00CC5ABC">
            <w:pPr>
              <w:pStyle w:val="Akapitzlist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616"/>
        </w:trPr>
        <w:tc>
          <w:tcPr>
            <w:tcW w:w="0" w:type="auto"/>
            <w:shd w:val="clear" w:color="auto" w:fill="D6E3BC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methods</w:t>
            </w:r>
          </w:p>
        </w:tc>
        <w:tc>
          <w:tcPr>
            <w:tcW w:w="8692" w:type="dxa"/>
            <w:shd w:val="clear" w:color="auto" w:fill="D6E3BC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classes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teacher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364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outcomes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765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methods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1624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list of topics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47" w:rsidRPr="00A75F5E" w:rsidTr="00CC5ABC">
        <w:trPr>
          <w:trHeight w:val="616"/>
        </w:trPr>
        <w:tc>
          <w:tcPr>
            <w:tcW w:w="0" w:type="auto"/>
            <w:shd w:val="clear" w:color="auto" w:fill="FBD4B4"/>
            <w:vAlign w:val="center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methods</w:t>
            </w:r>
          </w:p>
        </w:tc>
        <w:tc>
          <w:tcPr>
            <w:tcW w:w="8692" w:type="dxa"/>
            <w:shd w:val="clear" w:color="auto" w:fill="FBD4B4"/>
          </w:tcPr>
          <w:p w:rsidR="004D2447" w:rsidRPr="00312DC4" w:rsidRDefault="004D2447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447" w:rsidRPr="00872A41" w:rsidRDefault="004D2447" w:rsidP="0002242F">
      <w:pPr>
        <w:rPr>
          <w:b/>
        </w:rPr>
      </w:pPr>
    </w:p>
    <w:p w:rsidR="004D2447" w:rsidRDefault="004D2447"/>
    <w:sectPr w:rsidR="004D2447" w:rsidSect="0031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F"/>
    <w:rsid w:val="0002242F"/>
    <w:rsid w:val="00060F1C"/>
    <w:rsid w:val="000942E0"/>
    <w:rsid w:val="000E7609"/>
    <w:rsid w:val="00153A33"/>
    <w:rsid w:val="001A46C8"/>
    <w:rsid w:val="00211BCD"/>
    <w:rsid w:val="00275952"/>
    <w:rsid w:val="00277D4A"/>
    <w:rsid w:val="00312DC4"/>
    <w:rsid w:val="00375AAB"/>
    <w:rsid w:val="0039018F"/>
    <w:rsid w:val="003B3509"/>
    <w:rsid w:val="00425733"/>
    <w:rsid w:val="004B1DA0"/>
    <w:rsid w:val="004D2447"/>
    <w:rsid w:val="004D4B0D"/>
    <w:rsid w:val="00512A4F"/>
    <w:rsid w:val="00642B2A"/>
    <w:rsid w:val="00754B28"/>
    <w:rsid w:val="007619F4"/>
    <w:rsid w:val="007A1846"/>
    <w:rsid w:val="007D66F1"/>
    <w:rsid w:val="007E5D2A"/>
    <w:rsid w:val="00803DD0"/>
    <w:rsid w:val="0080743F"/>
    <w:rsid w:val="00816856"/>
    <w:rsid w:val="00856DFC"/>
    <w:rsid w:val="00872A41"/>
    <w:rsid w:val="008D564B"/>
    <w:rsid w:val="00923ACD"/>
    <w:rsid w:val="009D142A"/>
    <w:rsid w:val="009D3868"/>
    <w:rsid w:val="00A74724"/>
    <w:rsid w:val="00A75F5E"/>
    <w:rsid w:val="00AB7133"/>
    <w:rsid w:val="00AC455C"/>
    <w:rsid w:val="00B2361E"/>
    <w:rsid w:val="00B506FE"/>
    <w:rsid w:val="00B53049"/>
    <w:rsid w:val="00B71ABD"/>
    <w:rsid w:val="00BB3028"/>
    <w:rsid w:val="00BB7CD0"/>
    <w:rsid w:val="00C066CC"/>
    <w:rsid w:val="00C6259C"/>
    <w:rsid w:val="00C7160E"/>
    <w:rsid w:val="00CC5ABC"/>
    <w:rsid w:val="00D5657E"/>
    <w:rsid w:val="00DA597A"/>
    <w:rsid w:val="00DD1C05"/>
    <w:rsid w:val="00E1508F"/>
    <w:rsid w:val="00EB65D9"/>
    <w:rsid w:val="00EC2712"/>
    <w:rsid w:val="00EE4E42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(opis w języku zajęć)</dc:title>
  <dc:creator>Jola</dc:creator>
  <cp:lastModifiedBy>Joanna</cp:lastModifiedBy>
  <cp:revision>2</cp:revision>
  <dcterms:created xsi:type="dcterms:W3CDTF">2016-03-14T11:36:00Z</dcterms:created>
  <dcterms:modified xsi:type="dcterms:W3CDTF">2016-03-14T11:36:00Z</dcterms:modified>
</cp:coreProperties>
</file>