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2F" w:rsidRPr="00C7160E" w:rsidRDefault="00C7160E" w:rsidP="00C7160E">
      <w:pPr>
        <w:jc w:val="right"/>
        <w:rPr>
          <w:sz w:val="16"/>
          <w:szCs w:val="16"/>
        </w:rPr>
      </w:pPr>
      <w:r w:rsidRPr="00C7160E">
        <w:rPr>
          <w:sz w:val="16"/>
          <w:szCs w:val="16"/>
        </w:rPr>
        <w:t>(opis w języku zajęć)</w:t>
      </w:r>
    </w:p>
    <w:p w:rsidR="0002242F" w:rsidRDefault="0002242F" w:rsidP="0002242F">
      <w:pPr>
        <w:rPr>
          <w:b/>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9"/>
        <w:gridCol w:w="8692"/>
      </w:tblGrid>
      <w:tr w:rsidR="0002242F" w:rsidRPr="00D17C64" w:rsidTr="00CC5ABC">
        <w:trPr>
          <w:trHeight w:val="255"/>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Module </w:t>
            </w:r>
            <w:proofErr w:type="spellStart"/>
            <w:r>
              <w:rPr>
                <w:rFonts w:ascii="Arial" w:eastAsia="Times New Roman" w:hAnsi="Arial" w:cs="Arial"/>
                <w:b/>
                <w:bCs/>
                <w:sz w:val="20"/>
                <w:szCs w:val="20"/>
              </w:rPr>
              <w:t>name</w:t>
            </w:r>
            <w:proofErr w:type="spellEnd"/>
          </w:p>
        </w:tc>
        <w:tc>
          <w:tcPr>
            <w:tcW w:w="8692" w:type="dxa"/>
            <w:shd w:val="clear" w:color="auto" w:fill="C6D9F1" w:themeFill="text2" w:themeFillTint="33"/>
            <w:hideMark/>
          </w:tcPr>
          <w:p w:rsidR="0002242F" w:rsidRPr="00415089" w:rsidRDefault="005B4283" w:rsidP="00CC5ABC">
            <w:pPr>
              <w:spacing w:after="0" w:line="240" w:lineRule="auto"/>
              <w:rPr>
                <w:rFonts w:ascii="Arial" w:eastAsia="Times New Roman" w:hAnsi="Arial" w:cs="Arial"/>
                <w:b/>
                <w:sz w:val="20"/>
                <w:szCs w:val="20"/>
                <w:lang w:val="en-US"/>
              </w:rPr>
            </w:pPr>
            <w:r w:rsidRPr="005B4283">
              <w:rPr>
                <w:rFonts w:ascii="Arial" w:eastAsia="Times New Roman" w:hAnsi="Arial" w:cs="Arial"/>
                <w:b/>
                <w:bCs/>
                <w:sz w:val="20"/>
                <w:szCs w:val="20"/>
                <w:lang w:val="en-US"/>
              </w:rPr>
              <w:t>Europ</w:t>
            </w:r>
            <w:r>
              <w:rPr>
                <w:rFonts w:ascii="Arial" w:eastAsia="Times New Roman" w:hAnsi="Arial" w:cs="Arial"/>
                <w:b/>
                <w:bCs/>
                <w:sz w:val="20"/>
                <w:szCs w:val="20"/>
                <w:lang w:val="en-US"/>
              </w:rPr>
              <w:t xml:space="preserve">ean Convention of Human Rights - </w:t>
            </w:r>
            <w:r w:rsidRPr="005B4283">
              <w:rPr>
                <w:rFonts w:ascii="Arial" w:eastAsia="Times New Roman" w:hAnsi="Arial" w:cs="Arial"/>
                <w:b/>
                <w:bCs/>
                <w:sz w:val="20"/>
                <w:szCs w:val="20"/>
                <w:lang w:val="en-US"/>
              </w:rPr>
              <w:t>Polish Cases</w:t>
            </w:r>
          </w:p>
        </w:tc>
      </w:tr>
      <w:tr w:rsidR="0002242F" w:rsidRPr="00312DC4" w:rsidTr="00CC5ABC">
        <w:trPr>
          <w:trHeight w:val="255"/>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Studies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cycle</w:t>
            </w:r>
            <w:proofErr w:type="spellEnd"/>
          </w:p>
        </w:tc>
        <w:tc>
          <w:tcPr>
            <w:tcW w:w="8692" w:type="dxa"/>
            <w:shd w:val="clear" w:color="auto" w:fill="C6D9F1" w:themeFill="text2" w:themeFillTint="33"/>
          </w:tcPr>
          <w:p w:rsidR="0002242F" w:rsidRPr="00EE4E42" w:rsidRDefault="00D17C64" w:rsidP="00CC5ABC">
            <w:pPr>
              <w:spacing w:after="0" w:line="240" w:lineRule="auto"/>
              <w:rPr>
                <w:rFonts w:ascii="Arial" w:eastAsia="Times New Roman" w:hAnsi="Arial" w:cs="Arial"/>
                <w:b/>
                <w:sz w:val="20"/>
                <w:szCs w:val="20"/>
              </w:rPr>
            </w:pPr>
            <w:r>
              <w:rPr>
                <w:rFonts w:ascii="Arial" w:eastAsia="Times New Roman" w:hAnsi="Arial" w:cs="Arial"/>
                <w:b/>
                <w:sz w:val="20"/>
                <w:szCs w:val="20"/>
              </w:rPr>
              <w:t>Iº and IIº</w:t>
            </w:r>
            <w:bookmarkStart w:id="0" w:name="_GoBack"/>
            <w:bookmarkEnd w:id="0"/>
          </w:p>
        </w:tc>
      </w:tr>
      <w:tr w:rsidR="0002242F" w:rsidRPr="00312DC4" w:rsidTr="00CC5ABC">
        <w:trPr>
          <w:trHeight w:val="255"/>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Semester</w:t>
            </w:r>
            <w:proofErr w:type="spellEnd"/>
          </w:p>
        </w:tc>
        <w:tc>
          <w:tcPr>
            <w:tcW w:w="8692" w:type="dxa"/>
            <w:shd w:val="clear" w:color="auto" w:fill="C6D9F1" w:themeFill="text2" w:themeFillTint="33"/>
          </w:tcPr>
          <w:p w:rsidR="0002242F" w:rsidRPr="00EE4E42" w:rsidRDefault="00D17C64" w:rsidP="00CC5ABC">
            <w:pPr>
              <w:spacing w:after="0" w:line="240" w:lineRule="auto"/>
              <w:rPr>
                <w:rFonts w:ascii="Arial" w:eastAsia="Times New Roman" w:hAnsi="Arial" w:cs="Arial"/>
                <w:b/>
                <w:sz w:val="20"/>
                <w:szCs w:val="20"/>
              </w:rPr>
            </w:pPr>
            <w:r>
              <w:rPr>
                <w:rFonts w:ascii="Arial" w:eastAsia="Times New Roman" w:hAnsi="Arial" w:cs="Arial"/>
                <w:b/>
                <w:sz w:val="20"/>
                <w:szCs w:val="20"/>
              </w:rPr>
              <w:t>2</w:t>
            </w:r>
          </w:p>
        </w:tc>
      </w:tr>
      <w:tr w:rsidR="0002242F" w:rsidRPr="00312DC4" w:rsidTr="00CC5ABC">
        <w:trPr>
          <w:trHeight w:val="255"/>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r>
              <w:rPr>
                <w:rFonts w:ascii="Arial" w:eastAsia="Times New Roman" w:hAnsi="Arial" w:cs="Arial"/>
                <w:sz w:val="20"/>
                <w:szCs w:val="20"/>
              </w:rPr>
              <w:t>ECTS</w:t>
            </w:r>
          </w:p>
        </w:tc>
        <w:tc>
          <w:tcPr>
            <w:tcW w:w="8692" w:type="dxa"/>
            <w:shd w:val="clear" w:color="auto" w:fill="C6D9F1" w:themeFill="text2" w:themeFillTint="33"/>
          </w:tcPr>
          <w:p w:rsidR="0002242F" w:rsidRPr="00EE4E42" w:rsidRDefault="000114B9" w:rsidP="00CC5ABC">
            <w:pPr>
              <w:spacing w:after="0" w:line="240" w:lineRule="auto"/>
              <w:rPr>
                <w:rFonts w:ascii="Arial" w:eastAsia="Times New Roman" w:hAnsi="Arial" w:cs="Arial"/>
                <w:b/>
                <w:sz w:val="20"/>
                <w:szCs w:val="20"/>
              </w:rPr>
            </w:pPr>
            <w:r>
              <w:rPr>
                <w:rFonts w:ascii="Arial" w:eastAsia="Times New Roman" w:hAnsi="Arial" w:cs="Arial"/>
                <w:b/>
                <w:sz w:val="20"/>
                <w:szCs w:val="20"/>
              </w:rPr>
              <w:t>4</w:t>
            </w:r>
          </w:p>
        </w:tc>
      </w:tr>
      <w:tr w:rsidR="0002242F" w:rsidRPr="00D17C64" w:rsidTr="000114B9">
        <w:trPr>
          <w:trHeight w:val="692"/>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r>
              <w:rPr>
                <w:rFonts w:ascii="Arial" w:eastAsia="Times New Roman" w:hAnsi="Arial" w:cs="Arial"/>
                <w:sz w:val="20"/>
                <w:szCs w:val="20"/>
              </w:rPr>
              <w:t xml:space="preserve">ECTS </w:t>
            </w:r>
            <w:proofErr w:type="spellStart"/>
            <w:r>
              <w:rPr>
                <w:rFonts w:ascii="Arial" w:eastAsia="Times New Roman" w:hAnsi="Arial" w:cs="Arial"/>
                <w:sz w:val="20"/>
                <w:szCs w:val="20"/>
              </w:rPr>
              <w:t>points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hour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equivalents</w:t>
            </w:r>
            <w:proofErr w:type="spellEnd"/>
          </w:p>
        </w:tc>
        <w:tc>
          <w:tcPr>
            <w:tcW w:w="8692" w:type="dxa"/>
            <w:shd w:val="clear" w:color="auto" w:fill="C6D9F1" w:themeFill="text2" w:themeFillTint="33"/>
            <w:hideMark/>
          </w:tcPr>
          <w:p w:rsidR="0002242F" w:rsidRPr="00C7160E" w:rsidRDefault="0002242F" w:rsidP="00CC5ABC">
            <w:pPr>
              <w:spacing w:after="0" w:line="240" w:lineRule="auto"/>
              <w:rPr>
                <w:rFonts w:ascii="Arial" w:eastAsia="Times New Roman" w:hAnsi="Arial" w:cs="Arial"/>
                <w:sz w:val="20"/>
                <w:szCs w:val="20"/>
                <w:lang w:val="en-GB"/>
              </w:rPr>
            </w:pPr>
            <w:r w:rsidRPr="00415089">
              <w:rPr>
                <w:rFonts w:ascii="Arial" w:eastAsia="Times New Roman" w:hAnsi="Arial" w:cs="Arial"/>
                <w:b/>
                <w:bCs/>
                <w:sz w:val="20"/>
                <w:szCs w:val="20"/>
                <w:lang w:val="en-US"/>
              </w:rPr>
              <w:t>Contact hours (work with an academic teacher)</w:t>
            </w:r>
            <w:r w:rsidR="004C073B">
              <w:rPr>
                <w:rFonts w:ascii="Arial" w:eastAsia="Times New Roman" w:hAnsi="Arial" w:cs="Arial"/>
                <w:b/>
                <w:bCs/>
                <w:sz w:val="20"/>
                <w:szCs w:val="20"/>
                <w:lang w:val="en-US"/>
              </w:rPr>
              <w:t>: 15</w:t>
            </w:r>
          </w:p>
          <w:p w:rsidR="0002242F" w:rsidRPr="00C7160E" w:rsidRDefault="0002242F" w:rsidP="00CC5ABC">
            <w:pPr>
              <w:spacing w:after="0" w:line="240" w:lineRule="auto"/>
              <w:rPr>
                <w:rFonts w:ascii="Arial" w:eastAsia="Times New Roman" w:hAnsi="Arial" w:cs="Arial"/>
                <w:b/>
                <w:bCs/>
                <w:sz w:val="20"/>
                <w:szCs w:val="20"/>
                <w:lang w:val="en-GB"/>
              </w:rPr>
            </w:pPr>
            <w:r w:rsidRPr="00415089">
              <w:rPr>
                <w:rFonts w:ascii="Arial" w:eastAsia="Times New Roman" w:hAnsi="Arial" w:cs="Arial"/>
                <w:b/>
                <w:bCs/>
                <w:sz w:val="20"/>
                <w:szCs w:val="20"/>
                <w:lang w:val="en-US"/>
              </w:rPr>
              <w:t>Total number of hours with an academic teacher</w:t>
            </w:r>
            <w:r w:rsidR="004C073B">
              <w:rPr>
                <w:rFonts w:ascii="Arial" w:eastAsia="Times New Roman" w:hAnsi="Arial" w:cs="Arial"/>
                <w:b/>
                <w:bCs/>
                <w:sz w:val="20"/>
                <w:szCs w:val="20"/>
                <w:lang w:val="en-US"/>
              </w:rPr>
              <w:t>: 15</w:t>
            </w:r>
            <w:r w:rsidRPr="00415089">
              <w:rPr>
                <w:rFonts w:ascii="Arial" w:eastAsia="Times New Roman" w:hAnsi="Arial" w:cs="Arial"/>
                <w:b/>
                <w:bCs/>
                <w:sz w:val="20"/>
                <w:szCs w:val="20"/>
                <w:lang w:val="en-US"/>
              </w:rPr>
              <w:t xml:space="preserve"> </w:t>
            </w:r>
          </w:p>
          <w:p w:rsidR="0002242F" w:rsidRPr="00C7160E" w:rsidRDefault="0002242F" w:rsidP="00CC5ABC">
            <w:pPr>
              <w:spacing w:after="0" w:line="240" w:lineRule="auto"/>
              <w:rPr>
                <w:rFonts w:ascii="Arial" w:eastAsia="Times New Roman" w:hAnsi="Arial" w:cs="Arial"/>
                <w:b/>
                <w:bCs/>
                <w:sz w:val="20"/>
                <w:szCs w:val="20"/>
                <w:lang w:val="en-GB"/>
              </w:rPr>
            </w:pPr>
            <w:r w:rsidRPr="00415089">
              <w:rPr>
                <w:rFonts w:ascii="Arial" w:eastAsia="Times New Roman" w:hAnsi="Arial" w:cs="Arial"/>
                <w:b/>
                <w:bCs/>
                <w:sz w:val="20"/>
                <w:szCs w:val="20"/>
                <w:lang w:val="en-US"/>
              </w:rPr>
              <w:t>Total number of ECTS points for the module</w:t>
            </w:r>
            <w:r w:rsidR="000114B9">
              <w:rPr>
                <w:rFonts w:ascii="Arial" w:eastAsia="Times New Roman" w:hAnsi="Arial" w:cs="Arial"/>
                <w:b/>
                <w:bCs/>
                <w:sz w:val="20"/>
                <w:szCs w:val="20"/>
                <w:lang w:val="en-US"/>
              </w:rPr>
              <w:t>: 4</w:t>
            </w:r>
          </w:p>
        </w:tc>
      </w:tr>
      <w:tr w:rsidR="0002242F" w:rsidRPr="00312DC4" w:rsidTr="00CC5ABC">
        <w:trPr>
          <w:trHeight w:val="255"/>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Website</w:t>
            </w:r>
            <w:proofErr w:type="spellEnd"/>
          </w:p>
        </w:tc>
        <w:tc>
          <w:tcPr>
            <w:tcW w:w="8692" w:type="dxa"/>
            <w:shd w:val="clear" w:color="auto" w:fill="C6D9F1" w:themeFill="text2" w:themeFillTint="33"/>
            <w:hideMark/>
          </w:tcPr>
          <w:p w:rsidR="0002242F" w:rsidRPr="00312DC4" w:rsidRDefault="0002242F" w:rsidP="00CC5ABC">
            <w:pPr>
              <w:spacing w:after="0" w:line="240" w:lineRule="auto"/>
              <w:rPr>
                <w:rFonts w:ascii="Arial" w:eastAsia="Times New Roman" w:hAnsi="Arial" w:cs="Arial"/>
                <w:sz w:val="20"/>
                <w:szCs w:val="20"/>
              </w:rPr>
            </w:pPr>
          </w:p>
        </w:tc>
      </w:tr>
      <w:tr w:rsidR="0002242F" w:rsidRPr="00312DC4" w:rsidTr="00CC5ABC">
        <w:trPr>
          <w:trHeight w:val="255"/>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r>
              <w:rPr>
                <w:rFonts w:ascii="Arial" w:eastAsia="Times New Roman" w:hAnsi="Arial" w:cs="Arial"/>
                <w:sz w:val="20"/>
                <w:szCs w:val="20"/>
              </w:rPr>
              <w:t xml:space="preserve">Language of </w:t>
            </w:r>
            <w:proofErr w:type="spellStart"/>
            <w:r>
              <w:rPr>
                <w:rFonts w:ascii="Arial" w:eastAsia="Times New Roman" w:hAnsi="Arial" w:cs="Arial"/>
                <w:sz w:val="20"/>
                <w:szCs w:val="20"/>
              </w:rPr>
              <w:t>instruction</w:t>
            </w:r>
            <w:proofErr w:type="spellEnd"/>
          </w:p>
        </w:tc>
        <w:tc>
          <w:tcPr>
            <w:tcW w:w="8692" w:type="dxa"/>
            <w:shd w:val="clear" w:color="auto" w:fill="C6D9F1" w:themeFill="text2" w:themeFillTint="33"/>
            <w:hideMark/>
          </w:tcPr>
          <w:p w:rsidR="0002242F" w:rsidRPr="00312DC4" w:rsidRDefault="004C073B" w:rsidP="00CC5ABC">
            <w:pPr>
              <w:spacing w:after="0" w:line="240" w:lineRule="auto"/>
              <w:rPr>
                <w:rFonts w:ascii="Arial" w:eastAsia="Times New Roman" w:hAnsi="Arial" w:cs="Arial"/>
                <w:sz w:val="20"/>
                <w:szCs w:val="20"/>
              </w:rPr>
            </w:pPr>
            <w:r>
              <w:rPr>
                <w:rFonts w:ascii="Arial" w:eastAsia="Times New Roman" w:hAnsi="Arial" w:cs="Arial"/>
                <w:sz w:val="20"/>
                <w:szCs w:val="20"/>
              </w:rPr>
              <w:t>English</w:t>
            </w:r>
          </w:p>
        </w:tc>
      </w:tr>
      <w:tr w:rsidR="0002242F" w:rsidRPr="00D17C64" w:rsidTr="00E943EC">
        <w:trPr>
          <w:trHeight w:val="959"/>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Short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description</w:t>
            </w:r>
            <w:proofErr w:type="spellEnd"/>
          </w:p>
        </w:tc>
        <w:tc>
          <w:tcPr>
            <w:tcW w:w="8692" w:type="dxa"/>
            <w:shd w:val="clear" w:color="auto" w:fill="C6D9F1" w:themeFill="text2" w:themeFillTint="33"/>
            <w:hideMark/>
          </w:tcPr>
          <w:p w:rsidR="0002242F" w:rsidRPr="00A31B5D" w:rsidRDefault="0002242F" w:rsidP="00E943EC">
            <w:pPr>
              <w:spacing w:after="0" w:line="240" w:lineRule="auto"/>
              <w:jc w:val="both"/>
              <w:rPr>
                <w:rFonts w:ascii="Arial" w:eastAsia="Times New Roman" w:hAnsi="Arial" w:cs="Arial"/>
                <w:sz w:val="20"/>
                <w:szCs w:val="20"/>
                <w:lang w:val="en-US"/>
              </w:rPr>
            </w:pPr>
            <w:r w:rsidRPr="00A31B5D">
              <w:rPr>
                <w:rFonts w:ascii="Arial" w:eastAsia="Times New Roman" w:hAnsi="Arial" w:cs="Arial"/>
                <w:sz w:val="20"/>
                <w:szCs w:val="20"/>
                <w:lang w:val="en-US"/>
              </w:rPr>
              <w:t xml:space="preserve">The </w:t>
            </w:r>
            <w:r w:rsidR="00E943EC">
              <w:rPr>
                <w:rFonts w:ascii="Arial" w:eastAsia="Times New Roman" w:hAnsi="Arial" w:cs="Arial"/>
                <w:sz w:val="20"/>
                <w:szCs w:val="20"/>
                <w:lang w:val="en-US"/>
              </w:rPr>
              <w:t>m</w:t>
            </w:r>
            <w:r w:rsidR="00E943EC" w:rsidRPr="00E943EC">
              <w:rPr>
                <w:rFonts w:ascii="Arial" w:eastAsia="Times New Roman" w:hAnsi="Arial" w:cs="Arial"/>
                <w:sz w:val="20"/>
                <w:szCs w:val="20"/>
                <w:lang w:val="en-US"/>
              </w:rPr>
              <w:t>odule deals with the knowledge on the European system of the Human Rights, taken in the frames of the European Convention of Human Rights and the jurisdiction of the European Court of Human rights in the context of the Polish cases (cases brought against Poland) Convention of Human Rights</w:t>
            </w:r>
            <w:r w:rsidR="00E943EC">
              <w:rPr>
                <w:rFonts w:ascii="Arial" w:eastAsia="Times New Roman" w:hAnsi="Arial" w:cs="Arial"/>
                <w:sz w:val="20"/>
                <w:szCs w:val="20"/>
                <w:lang w:val="en-US"/>
              </w:rPr>
              <w:t>.</w:t>
            </w:r>
          </w:p>
        </w:tc>
      </w:tr>
      <w:tr w:rsidR="0002242F" w:rsidRPr="00D17C64" w:rsidTr="00CC5ABC">
        <w:trPr>
          <w:trHeight w:val="2612"/>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r>
              <w:rPr>
                <w:rFonts w:ascii="Arial" w:eastAsia="Times New Roman" w:hAnsi="Arial" w:cs="Arial"/>
                <w:sz w:val="20"/>
                <w:szCs w:val="20"/>
              </w:rPr>
              <w:t xml:space="preserve">Full </w:t>
            </w:r>
            <w:proofErr w:type="spellStart"/>
            <w:r>
              <w:rPr>
                <w:rFonts w:ascii="Arial" w:eastAsia="Times New Roman" w:hAnsi="Arial" w:cs="Arial"/>
                <w:sz w:val="20"/>
                <w:szCs w:val="20"/>
              </w:rPr>
              <w:t>description</w:t>
            </w:r>
            <w:proofErr w:type="spellEnd"/>
          </w:p>
        </w:tc>
        <w:tc>
          <w:tcPr>
            <w:tcW w:w="8692" w:type="dxa"/>
            <w:shd w:val="clear" w:color="auto" w:fill="C6D9F1" w:themeFill="text2" w:themeFillTint="33"/>
            <w:hideMark/>
          </w:tcPr>
          <w:p w:rsidR="008B752A" w:rsidRPr="008B752A" w:rsidRDefault="004C073B" w:rsidP="008B752A">
            <w:pPr>
              <w:spacing w:after="0" w:line="240" w:lineRule="auto"/>
              <w:rPr>
                <w:rFonts w:ascii="Arial" w:eastAsia="Times New Roman" w:hAnsi="Arial" w:cs="Arial"/>
                <w:sz w:val="20"/>
                <w:szCs w:val="20"/>
                <w:lang w:val="en-US" w:eastAsia="pl-PL"/>
              </w:rPr>
            </w:pPr>
            <w:r>
              <w:rPr>
                <w:rFonts w:ascii="Arial" w:eastAsia="Times New Roman" w:hAnsi="Arial" w:cs="Arial"/>
                <w:b/>
                <w:bCs/>
                <w:sz w:val="20"/>
                <w:szCs w:val="20"/>
                <w:lang w:val="en-US"/>
              </w:rPr>
              <w:t>The class</w:t>
            </w:r>
            <w:r w:rsidR="0002242F" w:rsidRPr="00415089">
              <w:rPr>
                <w:rFonts w:ascii="Arial" w:eastAsia="Times New Roman" w:hAnsi="Arial" w:cs="Arial"/>
                <w:b/>
                <w:bCs/>
                <w:sz w:val="20"/>
                <w:szCs w:val="20"/>
                <w:lang w:val="en-US"/>
              </w:rPr>
              <w:t xml:space="preserve"> covers the following issues:</w:t>
            </w:r>
            <w:r w:rsidR="0002242F" w:rsidRPr="00415089">
              <w:rPr>
                <w:rFonts w:ascii="Arial" w:eastAsia="Times New Roman" w:hAnsi="Arial" w:cs="Arial"/>
                <w:sz w:val="20"/>
                <w:szCs w:val="20"/>
                <w:lang w:val="en-US"/>
              </w:rPr>
              <w:br/>
            </w:r>
            <w:r w:rsidR="008B752A">
              <w:rPr>
                <w:rFonts w:ascii="Arial" w:eastAsia="Times New Roman" w:hAnsi="Arial" w:cs="Arial"/>
                <w:sz w:val="20"/>
                <w:szCs w:val="20"/>
                <w:lang w:val="en-US" w:eastAsia="pl-PL"/>
              </w:rPr>
              <w:t>1</w:t>
            </w:r>
            <w:r w:rsidR="008B752A" w:rsidRPr="008B752A">
              <w:rPr>
                <w:rFonts w:ascii="Arial" w:eastAsia="Times New Roman" w:hAnsi="Arial" w:cs="Arial"/>
                <w:sz w:val="20"/>
                <w:szCs w:val="20"/>
                <w:lang w:val="en-US" w:eastAsia="pl-PL"/>
              </w:rPr>
              <w:t>. State, International and European System of Human Rights Protection.</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2. System of the Council of Europe. Ratification in Poland.</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3. Law of Convention and Polish Constitution and statutes. Comparison of Standards.</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4. Statistics of the Claims against Poland</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5. Polish Cases – standards of the European Court of Human Rights</w:t>
            </w:r>
          </w:p>
          <w:p w:rsidR="008B752A" w:rsidRPr="008B752A" w:rsidRDefault="008B752A" w:rsidP="008B752A">
            <w:pPr>
              <w:spacing w:after="0" w:line="240" w:lineRule="auto"/>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   </w:t>
            </w:r>
            <w:r w:rsidRPr="008B752A">
              <w:rPr>
                <w:rFonts w:ascii="Arial" w:eastAsia="Times New Roman" w:hAnsi="Arial" w:cs="Arial"/>
                <w:sz w:val="20"/>
                <w:szCs w:val="20"/>
                <w:lang w:val="en-US" w:eastAsia="pl-PL"/>
              </w:rPr>
              <w:t xml:space="preserve"> 5.1. Selected Rights (Comparison of Standards)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-Right to Court (Problem of the Reasonable Time and Equality of Arms);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-Right to Personal Liberty (Problem of Detention - Procedure, Length,…)</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-Freedom of Expression (Freedom of Press, Freedom of Expression vs other</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Rights –to the Court, to Privacy, to Religion, </w:t>
            </w:r>
            <w:proofErr w:type="spellStart"/>
            <w:r w:rsidRPr="008B752A">
              <w:rPr>
                <w:rFonts w:ascii="Arial" w:eastAsia="Times New Roman" w:hAnsi="Arial" w:cs="Arial"/>
                <w:sz w:val="20"/>
                <w:szCs w:val="20"/>
                <w:lang w:val="en-US" w:eastAsia="pl-PL"/>
              </w:rPr>
              <w:t>etc</w:t>
            </w:r>
            <w:proofErr w:type="spellEnd"/>
            <w:r w:rsidRPr="008B752A">
              <w:rPr>
                <w:rFonts w:ascii="Arial" w:eastAsia="Times New Roman" w:hAnsi="Arial" w:cs="Arial"/>
                <w:sz w:val="20"/>
                <w:szCs w:val="20"/>
                <w:lang w:val="en-US" w:eastAsia="pl-PL"/>
              </w:rPr>
              <w:t xml:space="preserve">);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-Freedom of Associations and Manifestations;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-Right to </w:t>
            </w:r>
            <w:proofErr w:type="spellStart"/>
            <w:r w:rsidRPr="008B752A">
              <w:rPr>
                <w:rFonts w:ascii="Arial" w:eastAsia="Times New Roman" w:hAnsi="Arial" w:cs="Arial"/>
                <w:sz w:val="20"/>
                <w:szCs w:val="20"/>
                <w:lang w:val="en-US" w:eastAsia="pl-PL"/>
              </w:rPr>
              <w:t>Protecton</w:t>
            </w:r>
            <w:proofErr w:type="spellEnd"/>
            <w:r w:rsidRPr="008B752A">
              <w:rPr>
                <w:rFonts w:ascii="Arial" w:eastAsia="Times New Roman" w:hAnsi="Arial" w:cs="Arial"/>
                <w:sz w:val="20"/>
                <w:szCs w:val="20"/>
                <w:lang w:val="en-US" w:eastAsia="pl-PL"/>
              </w:rPr>
              <w:t xml:space="preserve"> of </w:t>
            </w:r>
            <w:proofErr w:type="spellStart"/>
            <w:r w:rsidRPr="008B752A">
              <w:rPr>
                <w:rFonts w:ascii="Arial" w:eastAsia="Times New Roman" w:hAnsi="Arial" w:cs="Arial"/>
                <w:sz w:val="20"/>
                <w:szCs w:val="20"/>
                <w:lang w:val="en-US" w:eastAsia="pl-PL"/>
              </w:rPr>
              <w:t>Possesions</w:t>
            </w:r>
            <w:proofErr w:type="spellEnd"/>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5.2. Polish Cases  - </w:t>
            </w:r>
            <w:proofErr w:type="spellStart"/>
            <w:r w:rsidRPr="008B752A">
              <w:rPr>
                <w:rFonts w:ascii="Arial" w:eastAsia="Times New Roman" w:hAnsi="Arial" w:cs="Arial"/>
                <w:sz w:val="20"/>
                <w:szCs w:val="20"/>
                <w:lang w:val="en-US" w:eastAsia="pl-PL"/>
              </w:rPr>
              <w:t>Juristidctional</w:t>
            </w:r>
            <w:proofErr w:type="spellEnd"/>
            <w:r w:rsidRPr="008B752A">
              <w:rPr>
                <w:rFonts w:ascii="Arial" w:eastAsia="Times New Roman" w:hAnsi="Arial" w:cs="Arial"/>
                <w:sz w:val="20"/>
                <w:szCs w:val="20"/>
                <w:lang w:val="en-US" w:eastAsia="pl-PL"/>
              </w:rPr>
              <w:t xml:space="preserve"> “Milestones” </w:t>
            </w:r>
          </w:p>
          <w:p w:rsidR="008B752A" w:rsidRPr="008B752A" w:rsidRDefault="008B752A" w:rsidP="008B752A">
            <w:pPr>
              <w:spacing w:after="0" w:line="240" w:lineRule="auto"/>
              <w:rPr>
                <w:rFonts w:ascii="Arial" w:eastAsia="Times New Roman" w:hAnsi="Arial" w:cs="Arial"/>
                <w:sz w:val="20"/>
                <w:szCs w:val="20"/>
                <w:lang w:eastAsia="pl-PL"/>
              </w:rPr>
            </w:pPr>
            <w:r w:rsidRPr="008B752A">
              <w:rPr>
                <w:rFonts w:ascii="Arial" w:eastAsia="Times New Roman" w:hAnsi="Arial" w:cs="Arial"/>
                <w:sz w:val="20"/>
                <w:szCs w:val="20"/>
                <w:lang w:val="en-US" w:eastAsia="pl-PL"/>
              </w:rPr>
              <w:t xml:space="preserve">                     </w:t>
            </w:r>
            <w:r w:rsidRPr="008B752A">
              <w:rPr>
                <w:rFonts w:ascii="Arial" w:eastAsia="Times New Roman" w:hAnsi="Arial" w:cs="Arial"/>
                <w:sz w:val="20"/>
                <w:szCs w:val="20"/>
                <w:lang w:eastAsia="pl-PL"/>
              </w:rPr>
              <w:t>(</w:t>
            </w:r>
            <w:proofErr w:type="spellStart"/>
            <w:r w:rsidRPr="008B752A">
              <w:rPr>
                <w:rFonts w:ascii="Arial" w:eastAsia="Times New Roman" w:hAnsi="Arial" w:cs="Arial"/>
                <w:sz w:val="20"/>
                <w:szCs w:val="20"/>
                <w:lang w:eastAsia="pl-PL"/>
              </w:rPr>
              <w:t>Proszak</w:t>
            </w:r>
            <w:proofErr w:type="spellEnd"/>
            <w:r w:rsidRPr="008B752A">
              <w:rPr>
                <w:rFonts w:ascii="Arial" w:eastAsia="Times New Roman" w:hAnsi="Arial" w:cs="Arial"/>
                <w:sz w:val="20"/>
                <w:szCs w:val="20"/>
                <w:lang w:eastAsia="pl-PL"/>
              </w:rPr>
              <w:t xml:space="preserve">, Baranowski, Kudła, Litwa, Tysiąc, Janowski,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eastAsia="pl-PL"/>
              </w:rPr>
              <w:t xml:space="preserve">                     </w:t>
            </w:r>
            <w:proofErr w:type="spellStart"/>
            <w:r w:rsidRPr="008B752A">
              <w:rPr>
                <w:rFonts w:ascii="Arial" w:eastAsia="Times New Roman" w:hAnsi="Arial" w:cs="Arial"/>
                <w:sz w:val="20"/>
                <w:szCs w:val="20"/>
                <w:lang w:val="en-US" w:eastAsia="pl-PL"/>
              </w:rPr>
              <w:t>Gawęda</w:t>
            </w:r>
            <w:proofErr w:type="spellEnd"/>
            <w:r w:rsidRPr="008B752A">
              <w:rPr>
                <w:rFonts w:ascii="Arial" w:eastAsia="Times New Roman" w:hAnsi="Arial" w:cs="Arial"/>
                <w:sz w:val="20"/>
                <w:szCs w:val="20"/>
                <w:lang w:val="en-US" w:eastAsia="pl-PL"/>
              </w:rPr>
              <w:t xml:space="preserve">, </w:t>
            </w:r>
            <w:proofErr w:type="spellStart"/>
            <w:r w:rsidRPr="008B752A">
              <w:rPr>
                <w:rFonts w:ascii="Arial" w:eastAsia="Times New Roman" w:hAnsi="Arial" w:cs="Arial"/>
                <w:sz w:val="20"/>
                <w:szCs w:val="20"/>
                <w:lang w:val="en-US" w:eastAsia="pl-PL"/>
              </w:rPr>
              <w:t>Gorzelik</w:t>
            </w:r>
            <w:proofErr w:type="spellEnd"/>
            <w:r w:rsidRPr="008B752A">
              <w:rPr>
                <w:rFonts w:ascii="Arial" w:eastAsia="Times New Roman" w:hAnsi="Arial" w:cs="Arial"/>
                <w:sz w:val="20"/>
                <w:szCs w:val="20"/>
                <w:lang w:val="en-US" w:eastAsia="pl-PL"/>
              </w:rPr>
              <w:t xml:space="preserve"> and others, </w:t>
            </w:r>
            <w:proofErr w:type="spellStart"/>
            <w:r w:rsidRPr="008B752A">
              <w:rPr>
                <w:rFonts w:ascii="Arial" w:eastAsia="Times New Roman" w:hAnsi="Arial" w:cs="Arial"/>
                <w:sz w:val="20"/>
                <w:szCs w:val="20"/>
                <w:lang w:val="en-US" w:eastAsia="pl-PL"/>
              </w:rPr>
              <w:t>Bączkowski</w:t>
            </w:r>
            <w:proofErr w:type="spellEnd"/>
            <w:r w:rsidRPr="008B752A">
              <w:rPr>
                <w:rFonts w:ascii="Arial" w:eastAsia="Times New Roman" w:hAnsi="Arial" w:cs="Arial"/>
                <w:sz w:val="20"/>
                <w:szCs w:val="20"/>
                <w:lang w:val="en-US" w:eastAsia="pl-PL"/>
              </w:rPr>
              <w:t xml:space="preserve"> and others,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w:t>
            </w:r>
            <w:proofErr w:type="spellStart"/>
            <w:r w:rsidRPr="008B752A">
              <w:rPr>
                <w:rFonts w:ascii="Arial" w:eastAsia="Times New Roman" w:hAnsi="Arial" w:cs="Arial"/>
                <w:sz w:val="20"/>
                <w:szCs w:val="20"/>
                <w:lang w:val="en-US" w:eastAsia="pl-PL"/>
              </w:rPr>
              <w:t>Broniowski</w:t>
            </w:r>
            <w:proofErr w:type="spellEnd"/>
            <w:r w:rsidRPr="008B752A">
              <w:rPr>
                <w:rFonts w:ascii="Arial" w:eastAsia="Times New Roman" w:hAnsi="Arial" w:cs="Arial"/>
                <w:sz w:val="20"/>
                <w:szCs w:val="20"/>
                <w:lang w:val="en-US" w:eastAsia="pl-PL"/>
              </w:rPr>
              <w:t xml:space="preserve">, </w:t>
            </w:r>
            <w:proofErr w:type="spellStart"/>
            <w:r w:rsidRPr="008B752A">
              <w:rPr>
                <w:rFonts w:ascii="Arial" w:eastAsia="Times New Roman" w:hAnsi="Arial" w:cs="Arial"/>
                <w:sz w:val="20"/>
                <w:szCs w:val="20"/>
                <w:lang w:val="en-US" w:eastAsia="pl-PL"/>
              </w:rPr>
              <w:t>Bugajny</w:t>
            </w:r>
            <w:proofErr w:type="spellEnd"/>
            <w:r w:rsidRPr="008B752A">
              <w:rPr>
                <w:rFonts w:ascii="Arial" w:eastAsia="Times New Roman" w:hAnsi="Arial" w:cs="Arial"/>
                <w:sz w:val="20"/>
                <w:szCs w:val="20"/>
                <w:lang w:val="en-US" w:eastAsia="pl-PL"/>
              </w:rPr>
              <w:t xml:space="preserve"> and others, Hutten-</w:t>
            </w:r>
            <w:proofErr w:type="spellStart"/>
            <w:r w:rsidRPr="008B752A">
              <w:rPr>
                <w:rFonts w:ascii="Arial" w:eastAsia="Times New Roman" w:hAnsi="Arial" w:cs="Arial"/>
                <w:sz w:val="20"/>
                <w:szCs w:val="20"/>
                <w:lang w:val="en-US" w:eastAsia="pl-PL"/>
              </w:rPr>
              <w:t>Czapska</w:t>
            </w:r>
            <w:proofErr w:type="spellEnd"/>
            <w:r w:rsidRPr="008B752A">
              <w:rPr>
                <w:rFonts w:ascii="Arial" w:eastAsia="Times New Roman" w:hAnsi="Arial" w:cs="Arial"/>
                <w:sz w:val="20"/>
                <w:szCs w:val="20"/>
                <w:lang w:val="en-US" w:eastAsia="pl-PL"/>
              </w:rPr>
              <w:t xml:space="preserve">,….) </w:t>
            </w:r>
          </w:p>
          <w:p w:rsidR="008B752A" w:rsidRPr="008B752A" w:rsidRDefault="008B752A" w:rsidP="008B752A">
            <w:p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 xml:space="preserve">     5.3. Reception of the Convention and the ECHR standards in the Polish courts</w:t>
            </w:r>
          </w:p>
          <w:p w:rsidR="0002242F" w:rsidRPr="00082BF3" w:rsidRDefault="008B752A" w:rsidP="008B752A">
            <w:pPr>
              <w:spacing w:after="0" w:line="240" w:lineRule="auto"/>
              <w:rPr>
                <w:rFonts w:ascii="Arial" w:eastAsia="Times New Roman" w:hAnsi="Arial" w:cs="Arial"/>
                <w:sz w:val="20"/>
                <w:szCs w:val="20"/>
                <w:lang w:val="en-US"/>
              </w:rPr>
            </w:pPr>
            <w:r w:rsidRPr="008B752A">
              <w:rPr>
                <w:rFonts w:ascii="Arial" w:eastAsia="Times New Roman" w:hAnsi="Arial" w:cs="Arial"/>
                <w:sz w:val="20"/>
                <w:szCs w:val="20"/>
                <w:lang w:val="en-US" w:eastAsia="pl-PL"/>
              </w:rPr>
              <w:t xml:space="preserve">                    (Constitutional Tribunal, Supreme Court, Supreme Administrative Court)  </w:t>
            </w:r>
          </w:p>
        </w:tc>
      </w:tr>
      <w:tr w:rsidR="0002242F" w:rsidRPr="00D17C64" w:rsidTr="00CC5ABC">
        <w:trPr>
          <w:trHeight w:val="83"/>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r>
              <w:rPr>
                <w:rFonts w:ascii="Arial" w:eastAsia="Times New Roman" w:hAnsi="Arial" w:cs="Arial"/>
                <w:sz w:val="20"/>
                <w:szCs w:val="20"/>
              </w:rPr>
              <w:t>Reading list</w:t>
            </w:r>
          </w:p>
        </w:tc>
        <w:tc>
          <w:tcPr>
            <w:tcW w:w="8692" w:type="dxa"/>
            <w:shd w:val="clear" w:color="auto" w:fill="C6D9F1" w:themeFill="text2" w:themeFillTint="33"/>
            <w:hideMark/>
          </w:tcPr>
          <w:p w:rsidR="008B752A" w:rsidRPr="008B752A" w:rsidRDefault="008B752A" w:rsidP="008B752A">
            <w:pPr>
              <w:pStyle w:val="Akapitzlist"/>
              <w:numPr>
                <w:ilvl w:val="0"/>
                <w:numId w:val="1"/>
              </w:numPr>
              <w:spacing w:after="0" w:line="240" w:lineRule="auto"/>
              <w:rPr>
                <w:rFonts w:ascii="Arial" w:eastAsia="Times New Roman" w:hAnsi="Arial" w:cs="Arial"/>
                <w:sz w:val="20"/>
                <w:szCs w:val="20"/>
                <w:lang w:val="en-US" w:eastAsia="pl-PL"/>
              </w:rPr>
            </w:pPr>
            <w:proofErr w:type="spellStart"/>
            <w:r w:rsidRPr="008B752A">
              <w:rPr>
                <w:rFonts w:ascii="Arial" w:eastAsia="Times New Roman" w:hAnsi="Arial" w:cs="Arial"/>
                <w:sz w:val="20"/>
                <w:szCs w:val="20"/>
                <w:lang w:val="en-US" w:eastAsia="pl-PL"/>
              </w:rPr>
              <w:t>D.J.Harris</w:t>
            </w:r>
            <w:proofErr w:type="spellEnd"/>
            <w:r w:rsidRPr="008B752A">
              <w:rPr>
                <w:rFonts w:ascii="Arial" w:eastAsia="Times New Roman" w:hAnsi="Arial" w:cs="Arial"/>
                <w:sz w:val="20"/>
                <w:szCs w:val="20"/>
                <w:lang w:val="en-US" w:eastAsia="pl-PL"/>
              </w:rPr>
              <w:t xml:space="preserve">, M. O’Boyle, C. </w:t>
            </w:r>
            <w:proofErr w:type="spellStart"/>
            <w:r w:rsidRPr="008B752A">
              <w:rPr>
                <w:rFonts w:ascii="Arial" w:eastAsia="Times New Roman" w:hAnsi="Arial" w:cs="Arial"/>
                <w:sz w:val="20"/>
                <w:szCs w:val="20"/>
                <w:lang w:val="en-US" w:eastAsia="pl-PL"/>
              </w:rPr>
              <w:t>Warbrick</w:t>
            </w:r>
            <w:proofErr w:type="spellEnd"/>
            <w:r w:rsidRPr="008B752A">
              <w:rPr>
                <w:rFonts w:ascii="Arial" w:eastAsia="Times New Roman" w:hAnsi="Arial" w:cs="Arial"/>
                <w:sz w:val="20"/>
                <w:szCs w:val="20"/>
                <w:lang w:val="en-US" w:eastAsia="pl-PL"/>
              </w:rPr>
              <w:t>: Law of the European Convention on Human Rights, London 2014</w:t>
            </w:r>
          </w:p>
          <w:p w:rsidR="0002242F" w:rsidRPr="004C073B" w:rsidRDefault="008B752A" w:rsidP="008B752A">
            <w:pPr>
              <w:pStyle w:val="Akapitzlist"/>
              <w:numPr>
                <w:ilvl w:val="0"/>
                <w:numId w:val="1"/>
              </w:numPr>
              <w:spacing w:after="0" w:line="240" w:lineRule="auto"/>
              <w:rPr>
                <w:rFonts w:ascii="Arial" w:eastAsia="Times New Roman" w:hAnsi="Arial" w:cs="Arial"/>
                <w:sz w:val="20"/>
                <w:szCs w:val="20"/>
                <w:lang w:val="en-US" w:eastAsia="pl-PL"/>
              </w:rPr>
            </w:pPr>
            <w:r w:rsidRPr="008B752A">
              <w:rPr>
                <w:rFonts w:ascii="Arial" w:eastAsia="Times New Roman" w:hAnsi="Arial" w:cs="Arial"/>
                <w:sz w:val="20"/>
                <w:szCs w:val="20"/>
                <w:lang w:val="en-US" w:eastAsia="pl-PL"/>
              </w:rPr>
              <w:t>www.echr.coe.com (judgements)</w:t>
            </w:r>
          </w:p>
        </w:tc>
      </w:tr>
      <w:tr w:rsidR="0002242F" w:rsidRPr="00D17C64" w:rsidTr="00386CB6">
        <w:trPr>
          <w:trHeight w:val="1408"/>
        </w:trPr>
        <w:tc>
          <w:tcPr>
            <w:tcW w:w="0" w:type="auto"/>
            <w:shd w:val="clear" w:color="auto" w:fill="C6D9F1" w:themeFill="text2" w:themeFillTint="33"/>
            <w:vAlign w:val="center"/>
            <w:hideMark/>
          </w:tcPr>
          <w:p w:rsidR="0002242F" w:rsidRPr="00312DC4" w:rsidRDefault="0002242F" w:rsidP="00CC5AB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Educational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outcomes</w:t>
            </w:r>
            <w:proofErr w:type="spellEnd"/>
          </w:p>
        </w:tc>
        <w:tc>
          <w:tcPr>
            <w:tcW w:w="8692" w:type="dxa"/>
            <w:shd w:val="clear" w:color="auto" w:fill="C6D9F1" w:themeFill="text2" w:themeFillTint="33"/>
            <w:hideMark/>
          </w:tcPr>
          <w:p w:rsidR="0002242F" w:rsidRPr="009224E3" w:rsidRDefault="0002242F" w:rsidP="00CC5ABC">
            <w:pPr>
              <w:spacing w:after="0" w:line="240" w:lineRule="auto"/>
              <w:ind w:left="373" w:hanging="373"/>
              <w:rPr>
                <w:rFonts w:ascii="Arial" w:eastAsia="Times New Roman" w:hAnsi="Arial" w:cs="Arial"/>
                <w:sz w:val="20"/>
                <w:szCs w:val="20"/>
                <w:lang w:val="en-US"/>
              </w:rPr>
            </w:pPr>
          </w:p>
          <w:p w:rsidR="0002242F" w:rsidRPr="009224E3" w:rsidRDefault="0002242F" w:rsidP="00CC5ABC">
            <w:pPr>
              <w:spacing w:after="0" w:line="240" w:lineRule="auto"/>
              <w:ind w:left="373" w:hanging="373"/>
              <w:rPr>
                <w:rFonts w:ascii="Arial" w:eastAsia="Times New Roman" w:hAnsi="Arial" w:cs="Arial"/>
                <w:b/>
                <w:bCs/>
                <w:sz w:val="20"/>
                <w:szCs w:val="20"/>
                <w:lang w:val="en-US"/>
              </w:rPr>
            </w:pPr>
            <w:r w:rsidRPr="009224E3">
              <w:rPr>
                <w:rFonts w:ascii="Arial" w:eastAsia="Times New Roman" w:hAnsi="Arial" w:cs="Arial"/>
                <w:b/>
                <w:bCs/>
                <w:sz w:val="20"/>
                <w:szCs w:val="20"/>
                <w:lang w:val="en-US"/>
              </w:rPr>
              <w:t>KNOWLEDGE</w:t>
            </w:r>
            <w:r w:rsidR="00C10DC3" w:rsidRPr="009224E3">
              <w:rPr>
                <w:rFonts w:ascii="Arial" w:eastAsia="Times New Roman" w:hAnsi="Arial" w:cs="Arial"/>
                <w:b/>
                <w:bCs/>
                <w:sz w:val="20"/>
                <w:szCs w:val="20"/>
                <w:lang w:val="en-US"/>
              </w:rPr>
              <w:t>:</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W1. K</w:t>
            </w:r>
            <w:r w:rsidRPr="008B752A">
              <w:rPr>
                <w:rFonts w:ascii="Arial" w:eastAsia="Times New Roman" w:hAnsi="Arial" w:cs="Arial"/>
                <w:sz w:val="20"/>
                <w:szCs w:val="20"/>
                <w:lang w:val="en-US" w:eastAsia="pl-PL"/>
              </w:rPr>
              <w:t>nowledge on the basic conventional and jurisdictional standards</w:t>
            </w:r>
            <w:r>
              <w:rPr>
                <w:rFonts w:ascii="Arial" w:eastAsia="Times New Roman" w:hAnsi="Arial" w:cs="Arial"/>
                <w:sz w:val="20"/>
                <w:szCs w:val="20"/>
                <w:lang w:val="en-US" w:eastAsia="pl-PL"/>
              </w:rPr>
              <w:t>.</w:t>
            </w:r>
            <w:r w:rsidRPr="008B752A">
              <w:rPr>
                <w:rFonts w:ascii="Arial" w:eastAsia="Times New Roman" w:hAnsi="Arial" w:cs="Arial"/>
                <w:sz w:val="20"/>
                <w:szCs w:val="20"/>
                <w:lang w:val="en-US" w:eastAsia="pl-PL"/>
              </w:rPr>
              <w:t xml:space="preserve"> </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W2. C</w:t>
            </w:r>
            <w:r w:rsidRPr="008B752A">
              <w:rPr>
                <w:rFonts w:ascii="Arial" w:eastAsia="Times New Roman" w:hAnsi="Arial" w:cs="Arial"/>
                <w:sz w:val="20"/>
                <w:szCs w:val="20"/>
                <w:lang w:val="en-US" w:eastAsia="pl-PL"/>
              </w:rPr>
              <w:t>omparative knowledge on the European and Polish system of the Human Rights protection</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W3. K</w:t>
            </w:r>
            <w:r w:rsidRPr="008B752A">
              <w:rPr>
                <w:rFonts w:ascii="Arial" w:eastAsia="Times New Roman" w:hAnsi="Arial" w:cs="Arial"/>
                <w:sz w:val="20"/>
                <w:szCs w:val="20"/>
                <w:lang w:val="en-US" w:eastAsia="pl-PL"/>
              </w:rPr>
              <w:t xml:space="preserve">nowledge on the effects of the European jurisdiction in the Polish judicial practice </w:t>
            </w:r>
          </w:p>
          <w:p w:rsidR="008B752A" w:rsidRDefault="008B752A" w:rsidP="008B752A">
            <w:pPr>
              <w:spacing w:after="0" w:line="240" w:lineRule="auto"/>
              <w:ind w:left="373" w:hanging="373"/>
              <w:jc w:val="both"/>
              <w:rPr>
                <w:rFonts w:ascii="Arial" w:eastAsia="Times New Roman" w:hAnsi="Arial" w:cs="Arial"/>
                <w:sz w:val="20"/>
                <w:szCs w:val="20"/>
                <w:lang w:val="en-US" w:eastAsia="pl-PL"/>
              </w:rPr>
            </w:pPr>
          </w:p>
          <w:p w:rsidR="008B752A" w:rsidRDefault="008B752A" w:rsidP="008B752A">
            <w:pPr>
              <w:spacing w:after="0" w:line="240" w:lineRule="auto"/>
              <w:ind w:left="373" w:hanging="373"/>
              <w:jc w:val="both"/>
              <w:rPr>
                <w:rFonts w:ascii="Arial" w:eastAsia="Times New Roman" w:hAnsi="Arial" w:cs="Arial"/>
                <w:b/>
                <w:bCs/>
                <w:sz w:val="20"/>
                <w:szCs w:val="20"/>
                <w:lang w:val="en-US"/>
              </w:rPr>
            </w:pPr>
            <w:r w:rsidRPr="009224E3">
              <w:rPr>
                <w:rFonts w:ascii="Arial" w:eastAsia="Times New Roman" w:hAnsi="Arial" w:cs="Arial"/>
                <w:b/>
                <w:bCs/>
                <w:sz w:val="20"/>
                <w:szCs w:val="20"/>
                <w:lang w:val="en-US"/>
              </w:rPr>
              <w:t>SKILLS:</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U1. S</w:t>
            </w:r>
            <w:r w:rsidRPr="008B752A">
              <w:rPr>
                <w:rFonts w:ascii="Arial" w:eastAsia="Times New Roman" w:hAnsi="Arial" w:cs="Arial"/>
                <w:sz w:val="20"/>
                <w:szCs w:val="20"/>
                <w:lang w:val="en-US" w:eastAsia="pl-PL"/>
              </w:rPr>
              <w:t>kill of the using the jurisdictional arguments of the Human Rights protection</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U2. S</w:t>
            </w:r>
            <w:r w:rsidRPr="008B752A">
              <w:rPr>
                <w:rFonts w:ascii="Arial" w:eastAsia="Times New Roman" w:hAnsi="Arial" w:cs="Arial"/>
                <w:sz w:val="20"/>
                <w:szCs w:val="20"/>
                <w:lang w:val="en-US" w:eastAsia="pl-PL"/>
              </w:rPr>
              <w:t>kill on the evaluation of the Polish legislative and judicial practice</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U3. S</w:t>
            </w:r>
            <w:r w:rsidRPr="008B752A">
              <w:rPr>
                <w:rFonts w:ascii="Arial" w:eastAsia="Times New Roman" w:hAnsi="Arial" w:cs="Arial"/>
                <w:sz w:val="20"/>
                <w:szCs w:val="20"/>
                <w:lang w:val="en-US" w:eastAsia="pl-PL"/>
              </w:rPr>
              <w:t>kill of the defining the optimal standards of the protection</w:t>
            </w:r>
          </w:p>
          <w:p w:rsidR="008B752A" w:rsidRDefault="008B752A" w:rsidP="008B752A">
            <w:pPr>
              <w:spacing w:after="0" w:line="240" w:lineRule="auto"/>
              <w:ind w:left="373" w:hanging="373"/>
              <w:jc w:val="both"/>
              <w:rPr>
                <w:rFonts w:ascii="Arial" w:eastAsia="Times New Roman" w:hAnsi="Arial" w:cs="Arial"/>
                <w:sz w:val="20"/>
                <w:szCs w:val="20"/>
                <w:lang w:val="en-US" w:eastAsia="pl-PL"/>
              </w:rPr>
            </w:pPr>
          </w:p>
          <w:p w:rsidR="008B752A" w:rsidRPr="009224E3" w:rsidRDefault="008B752A" w:rsidP="008B752A">
            <w:pPr>
              <w:spacing w:after="0" w:line="240" w:lineRule="auto"/>
              <w:ind w:left="373" w:hanging="373"/>
              <w:rPr>
                <w:rFonts w:ascii="Arial" w:eastAsia="Times New Roman" w:hAnsi="Arial" w:cs="Arial"/>
                <w:b/>
                <w:sz w:val="20"/>
                <w:szCs w:val="20"/>
                <w:lang w:val="en-US"/>
              </w:rPr>
            </w:pPr>
            <w:r w:rsidRPr="009224E3">
              <w:rPr>
                <w:rFonts w:ascii="Arial" w:eastAsia="Times New Roman" w:hAnsi="Arial" w:cs="Arial"/>
                <w:b/>
                <w:bCs/>
                <w:sz w:val="20"/>
                <w:szCs w:val="20"/>
                <w:lang w:val="en-US"/>
              </w:rPr>
              <w:t>ATTITUDES:</w:t>
            </w:r>
          </w:p>
          <w:p w:rsidR="008B752A" w:rsidRP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K1. A</w:t>
            </w:r>
            <w:r w:rsidRPr="008B752A">
              <w:rPr>
                <w:rFonts w:ascii="Arial" w:eastAsia="Times New Roman" w:hAnsi="Arial" w:cs="Arial"/>
                <w:sz w:val="20"/>
                <w:szCs w:val="20"/>
                <w:lang w:val="en-US" w:eastAsia="pl-PL"/>
              </w:rPr>
              <w:t xml:space="preserve">wareness of the importance of the Human Rights in the contemporary </w:t>
            </w:r>
            <w:proofErr w:type="spellStart"/>
            <w:r w:rsidRPr="008B752A">
              <w:rPr>
                <w:rFonts w:ascii="Arial" w:eastAsia="Times New Roman" w:hAnsi="Arial" w:cs="Arial"/>
                <w:sz w:val="20"/>
                <w:szCs w:val="20"/>
                <w:lang w:val="en-US" w:eastAsia="pl-PL"/>
              </w:rPr>
              <w:t>soscial</w:t>
            </w:r>
            <w:proofErr w:type="spellEnd"/>
            <w:r w:rsidRPr="008B752A">
              <w:rPr>
                <w:rFonts w:ascii="Arial" w:eastAsia="Times New Roman" w:hAnsi="Arial" w:cs="Arial"/>
                <w:sz w:val="20"/>
                <w:szCs w:val="20"/>
                <w:lang w:val="en-US" w:eastAsia="pl-PL"/>
              </w:rPr>
              <w:t xml:space="preserve"> orders</w:t>
            </w:r>
          </w:p>
          <w:p w:rsidR="008B752A" w:rsidRDefault="008B752A" w:rsidP="008B752A">
            <w:pPr>
              <w:spacing w:after="0" w:line="240" w:lineRule="auto"/>
              <w:ind w:left="373" w:hanging="373"/>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K2. A</w:t>
            </w:r>
            <w:r w:rsidRPr="008B752A">
              <w:rPr>
                <w:rFonts w:ascii="Arial" w:eastAsia="Times New Roman" w:hAnsi="Arial" w:cs="Arial"/>
                <w:sz w:val="20"/>
                <w:szCs w:val="20"/>
                <w:lang w:val="en-US" w:eastAsia="pl-PL"/>
              </w:rPr>
              <w:t>wareness of the universalization of the standards of the protection</w:t>
            </w:r>
          </w:p>
          <w:p w:rsidR="008B752A" w:rsidRDefault="008B752A" w:rsidP="00831774">
            <w:pPr>
              <w:spacing w:after="0" w:line="240" w:lineRule="auto"/>
              <w:ind w:left="373" w:hanging="373"/>
              <w:jc w:val="both"/>
              <w:rPr>
                <w:rFonts w:ascii="Arial" w:eastAsia="Times New Roman" w:hAnsi="Arial" w:cs="Arial"/>
                <w:sz w:val="20"/>
                <w:szCs w:val="20"/>
                <w:lang w:val="en-US" w:eastAsia="pl-PL"/>
              </w:rPr>
            </w:pPr>
          </w:p>
          <w:p w:rsidR="0002242F" w:rsidRPr="00386CB6" w:rsidRDefault="0002242F" w:rsidP="000114B9">
            <w:pPr>
              <w:spacing w:after="0" w:line="240" w:lineRule="auto"/>
              <w:jc w:val="both"/>
              <w:rPr>
                <w:rFonts w:ascii="Arial" w:eastAsia="Times New Roman" w:hAnsi="Arial" w:cs="Arial"/>
                <w:sz w:val="20"/>
                <w:szCs w:val="20"/>
                <w:lang w:val="en-US"/>
              </w:rPr>
            </w:pPr>
          </w:p>
        </w:tc>
      </w:tr>
      <w:tr w:rsidR="0002242F" w:rsidRPr="00D17C64" w:rsidTr="00CC5ABC">
        <w:trPr>
          <w:trHeight w:val="626"/>
        </w:trPr>
        <w:tc>
          <w:tcPr>
            <w:tcW w:w="0" w:type="auto"/>
            <w:shd w:val="clear" w:color="auto" w:fill="C6D9F1" w:themeFill="text2" w:themeFillTint="33"/>
            <w:vAlign w:val="center"/>
            <w:hideMark/>
          </w:tcPr>
          <w:p w:rsidR="0002242F" w:rsidRPr="00386CB6" w:rsidRDefault="0002242F" w:rsidP="00CC5ABC">
            <w:pPr>
              <w:spacing w:after="0" w:line="240" w:lineRule="auto"/>
              <w:rPr>
                <w:rFonts w:ascii="Arial" w:eastAsia="Times New Roman" w:hAnsi="Arial" w:cs="Arial"/>
                <w:sz w:val="20"/>
                <w:szCs w:val="20"/>
                <w:lang w:val="en-US"/>
              </w:rPr>
            </w:pPr>
            <w:r w:rsidRPr="00386CB6">
              <w:rPr>
                <w:rFonts w:ascii="Arial" w:eastAsia="Times New Roman" w:hAnsi="Arial" w:cs="Arial"/>
                <w:sz w:val="20"/>
                <w:szCs w:val="20"/>
                <w:lang w:val="en-US"/>
              </w:rPr>
              <w:t>Assessment methods and criteria</w:t>
            </w:r>
          </w:p>
        </w:tc>
        <w:tc>
          <w:tcPr>
            <w:tcW w:w="8692" w:type="dxa"/>
            <w:shd w:val="clear" w:color="auto" w:fill="C6D9F1" w:themeFill="text2" w:themeFillTint="33"/>
            <w:hideMark/>
          </w:tcPr>
          <w:p w:rsidR="000114B9" w:rsidRPr="000114B9" w:rsidRDefault="000114B9" w:rsidP="000114B9">
            <w:pPr>
              <w:spacing w:after="0" w:line="240" w:lineRule="auto"/>
              <w:rPr>
                <w:rFonts w:ascii="Arial" w:eastAsia="Times New Roman" w:hAnsi="Arial" w:cs="Arial"/>
                <w:sz w:val="20"/>
                <w:szCs w:val="20"/>
                <w:lang w:val="en-US"/>
              </w:rPr>
            </w:pPr>
            <w:r w:rsidRPr="000114B9">
              <w:rPr>
                <w:rFonts w:ascii="Arial" w:eastAsia="Times New Roman" w:hAnsi="Arial" w:cs="Arial"/>
                <w:sz w:val="20"/>
                <w:szCs w:val="20"/>
                <w:lang w:val="en-US"/>
              </w:rPr>
              <w:t>-final exam</w:t>
            </w:r>
          </w:p>
          <w:p w:rsidR="0002242F" w:rsidRPr="00C10DC3" w:rsidRDefault="000114B9" w:rsidP="000114B9">
            <w:pPr>
              <w:spacing w:after="0" w:line="240" w:lineRule="auto"/>
              <w:rPr>
                <w:rFonts w:ascii="Arial" w:eastAsia="Times New Roman" w:hAnsi="Arial" w:cs="Arial"/>
                <w:sz w:val="20"/>
                <w:szCs w:val="20"/>
                <w:lang w:val="en-US"/>
              </w:rPr>
            </w:pPr>
            <w:r w:rsidRPr="000114B9">
              <w:rPr>
                <w:rFonts w:ascii="Arial" w:eastAsia="Times New Roman" w:hAnsi="Arial" w:cs="Arial"/>
                <w:sz w:val="20"/>
                <w:szCs w:val="20"/>
                <w:lang w:val="en-US"/>
              </w:rPr>
              <w:t xml:space="preserve">-activeness at the </w:t>
            </w:r>
            <w:proofErr w:type="spellStart"/>
            <w:r w:rsidRPr="000114B9">
              <w:rPr>
                <w:rFonts w:ascii="Arial" w:eastAsia="Times New Roman" w:hAnsi="Arial" w:cs="Arial"/>
                <w:sz w:val="20"/>
                <w:szCs w:val="20"/>
                <w:lang w:val="en-US"/>
              </w:rPr>
              <w:t>classs</w:t>
            </w:r>
            <w:proofErr w:type="spellEnd"/>
          </w:p>
        </w:tc>
      </w:tr>
      <w:tr w:rsidR="0002242F" w:rsidRPr="00D17C64" w:rsidTr="00CC5ABC">
        <w:trPr>
          <w:trHeight w:val="698"/>
        </w:trPr>
        <w:tc>
          <w:tcPr>
            <w:tcW w:w="0" w:type="auto"/>
            <w:shd w:val="clear" w:color="auto" w:fill="C6D9F1" w:themeFill="text2" w:themeFillTint="33"/>
            <w:vAlign w:val="center"/>
            <w:hideMark/>
          </w:tcPr>
          <w:p w:rsidR="0002242F" w:rsidRPr="00386CB6" w:rsidRDefault="0002242F" w:rsidP="00CC5ABC">
            <w:pPr>
              <w:spacing w:after="0" w:line="240" w:lineRule="auto"/>
              <w:rPr>
                <w:rFonts w:ascii="Arial" w:eastAsia="Times New Roman" w:hAnsi="Arial" w:cs="Arial"/>
                <w:sz w:val="20"/>
                <w:szCs w:val="20"/>
                <w:lang w:val="en-US"/>
              </w:rPr>
            </w:pPr>
            <w:r w:rsidRPr="00386CB6">
              <w:rPr>
                <w:rFonts w:ascii="Arial" w:eastAsia="Times New Roman" w:hAnsi="Arial" w:cs="Arial"/>
                <w:sz w:val="20"/>
                <w:szCs w:val="20"/>
                <w:lang w:val="en-US"/>
              </w:rPr>
              <w:t>Teaching methods</w:t>
            </w:r>
          </w:p>
        </w:tc>
        <w:tc>
          <w:tcPr>
            <w:tcW w:w="8692" w:type="dxa"/>
            <w:shd w:val="clear" w:color="auto" w:fill="C6D9F1" w:themeFill="text2" w:themeFillTint="33"/>
            <w:hideMark/>
          </w:tcPr>
          <w:p w:rsidR="000114B9" w:rsidRPr="000114B9" w:rsidRDefault="000114B9" w:rsidP="000114B9">
            <w:pPr>
              <w:spacing w:after="0" w:line="240" w:lineRule="auto"/>
              <w:rPr>
                <w:rFonts w:ascii="Arial" w:eastAsia="Times New Roman" w:hAnsi="Arial" w:cs="Arial"/>
                <w:sz w:val="20"/>
                <w:szCs w:val="20"/>
                <w:lang w:val="en-US"/>
              </w:rPr>
            </w:pPr>
            <w:r w:rsidRPr="000114B9">
              <w:rPr>
                <w:rFonts w:ascii="Arial" w:eastAsia="Times New Roman" w:hAnsi="Arial" w:cs="Arial"/>
                <w:sz w:val="20"/>
                <w:szCs w:val="20"/>
                <w:lang w:val="en-US"/>
              </w:rPr>
              <w:t>-lecture</w:t>
            </w:r>
          </w:p>
          <w:p w:rsidR="00C10DC3" w:rsidRPr="00C10DC3" w:rsidRDefault="000114B9" w:rsidP="000114B9">
            <w:pPr>
              <w:spacing w:after="0" w:line="240" w:lineRule="auto"/>
              <w:rPr>
                <w:rFonts w:ascii="Arial" w:eastAsia="Times New Roman" w:hAnsi="Arial" w:cs="Arial"/>
                <w:sz w:val="20"/>
                <w:szCs w:val="20"/>
                <w:lang w:val="en-US"/>
              </w:rPr>
            </w:pPr>
            <w:r w:rsidRPr="000114B9">
              <w:rPr>
                <w:rFonts w:ascii="Arial" w:eastAsia="Times New Roman" w:hAnsi="Arial" w:cs="Arial"/>
                <w:sz w:val="20"/>
                <w:szCs w:val="20"/>
                <w:lang w:val="en-US"/>
              </w:rPr>
              <w:t>-pr</w:t>
            </w:r>
            <w:r>
              <w:rPr>
                <w:rFonts w:ascii="Arial" w:eastAsia="Times New Roman" w:hAnsi="Arial" w:cs="Arial"/>
                <w:sz w:val="20"/>
                <w:szCs w:val="20"/>
                <w:lang w:val="en-US"/>
              </w:rPr>
              <w:t>esentation of the cases (form of</w:t>
            </w:r>
            <w:r w:rsidRPr="000114B9">
              <w:rPr>
                <w:rFonts w:ascii="Arial" w:eastAsia="Times New Roman" w:hAnsi="Arial" w:cs="Arial"/>
                <w:sz w:val="20"/>
                <w:szCs w:val="20"/>
                <w:lang w:val="en-US"/>
              </w:rPr>
              <w:t xml:space="preserve"> debate)</w:t>
            </w:r>
            <w:r w:rsidR="00C10DC3">
              <w:rPr>
                <w:rFonts w:ascii="Arial" w:eastAsia="Times New Roman" w:hAnsi="Arial" w:cs="Arial"/>
                <w:sz w:val="20"/>
                <w:szCs w:val="20"/>
                <w:lang w:val="en-US"/>
              </w:rPr>
              <w:t xml:space="preserve"> </w:t>
            </w:r>
          </w:p>
        </w:tc>
      </w:tr>
      <w:tr w:rsidR="0002242F" w:rsidRPr="005B4283" w:rsidTr="00CC5ABC">
        <w:trPr>
          <w:trHeight w:val="1764"/>
        </w:trPr>
        <w:tc>
          <w:tcPr>
            <w:tcW w:w="0" w:type="auto"/>
            <w:shd w:val="clear" w:color="auto" w:fill="C6D9F1" w:themeFill="text2" w:themeFillTint="33"/>
            <w:vAlign w:val="center"/>
            <w:hideMark/>
          </w:tcPr>
          <w:p w:rsidR="0002242F" w:rsidRPr="00C10DC3" w:rsidRDefault="0002242F" w:rsidP="00CC5ABC">
            <w:pPr>
              <w:spacing w:after="0" w:line="240" w:lineRule="auto"/>
              <w:rPr>
                <w:rFonts w:ascii="Arial" w:eastAsia="Times New Roman" w:hAnsi="Arial" w:cs="Arial"/>
                <w:sz w:val="20"/>
                <w:szCs w:val="20"/>
                <w:lang w:val="en-US"/>
              </w:rPr>
            </w:pPr>
            <w:r w:rsidRPr="00C10DC3">
              <w:rPr>
                <w:rFonts w:ascii="Arial" w:eastAsia="Times New Roman" w:hAnsi="Arial" w:cs="Arial"/>
                <w:sz w:val="20"/>
                <w:szCs w:val="20"/>
                <w:lang w:val="en-US"/>
              </w:rPr>
              <w:lastRenderedPageBreak/>
              <w:t>Educational outcomes verification methods</w:t>
            </w:r>
          </w:p>
        </w:tc>
        <w:tc>
          <w:tcPr>
            <w:tcW w:w="8692" w:type="dxa"/>
            <w:shd w:val="clear" w:color="auto" w:fill="C6D9F1" w:themeFill="text2" w:themeFillTint="33"/>
            <w:hideMark/>
          </w:tcPr>
          <w:p w:rsidR="0002242F" w:rsidRPr="00772938" w:rsidRDefault="000114B9" w:rsidP="00E70EF7">
            <w:pPr>
              <w:spacing w:after="0" w:line="240" w:lineRule="auto"/>
              <w:ind w:left="373" w:hanging="373"/>
              <w:rPr>
                <w:rFonts w:ascii="Arial" w:eastAsia="Times New Roman" w:hAnsi="Arial" w:cs="Arial"/>
                <w:sz w:val="20"/>
                <w:szCs w:val="20"/>
                <w:lang w:val="en-US"/>
              </w:rPr>
            </w:pPr>
            <w:r>
              <w:rPr>
                <w:rFonts w:ascii="Arial" w:eastAsia="Times New Roman" w:hAnsi="Arial" w:cs="Arial"/>
                <w:sz w:val="20"/>
                <w:szCs w:val="20"/>
                <w:lang w:val="en-US" w:eastAsia="pl-PL"/>
              </w:rPr>
              <w:t>Final paper</w:t>
            </w:r>
          </w:p>
        </w:tc>
      </w:tr>
      <w:tr w:rsidR="0002242F" w:rsidRPr="00C10DC3" w:rsidTr="00CC5ABC">
        <w:trPr>
          <w:trHeight w:val="255"/>
        </w:trPr>
        <w:tc>
          <w:tcPr>
            <w:tcW w:w="0" w:type="auto"/>
            <w:shd w:val="clear" w:color="auto" w:fill="C6D9F1" w:themeFill="text2" w:themeFillTint="33"/>
            <w:vAlign w:val="center"/>
            <w:hideMark/>
          </w:tcPr>
          <w:p w:rsidR="0002242F" w:rsidRPr="00C10DC3" w:rsidRDefault="0002242F" w:rsidP="00CC5ABC">
            <w:pPr>
              <w:spacing w:after="0" w:line="240" w:lineRule="auto"/>
              <w:rPr>
                <w:rFonts w:ascii="Arial" w:eastAsia="Times New Roman" w:hAnsi="Arial" w:cs="Arial"/>
                <w:sz w:val="20"/>
                <w:szCs w:val="20"/>
                <w:lang w:val="en-US"/>
              </w:rPr>
            </w:pPr>
            <w:r w:rsidRPr="00C10DC3">
              <w:rPr>
                <w:rFonts w:ascii="Arial" w:eastAsia="Times New Roman" w:hAnsi="Arial" w:cs="Arial"/>
                <w:sz w:val="20"/>
                <w:szCs w:val="20"/>
                <w:lang w:val="en-US"/>
              </w:rPr>
              <w:t>Prerequisites</w:t>
            </w:r>
          </w:p>
        </w:tc>
        <w:tc>
          <w:tcPr>
            <w:tcW w:w="8692" w:type="dxa"/>
            <w:shd w:val="clear" w:color="auto" w:fill="C6D9F1" w:themeFill="text2" w:themeFillTint="33"/>
            <w:vAlign w:val="center"/>
            <w:hideMark/>
          </w:tcPr>
          <w:p w:rsidR="0002242F" w:rsidRPr="00C10DC3" w:rsidRDefault="00E34DE3" w:rsidP="00CC5AB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None</w:t>
            </w:r>
          </w:p>
        </w:tc>
      </w:tr>
      <w:tr w:rsidR="0002242F" w:rsidRPr="00C10DC3" w:rsidTr="00CC5ABC">
        <w:trPr>
          <w:trHeight w:val="255"/>
        </w:trPr>
        <w:tc>
          <w:tcPr>
            <w:tcW w:w="0" w:type="auto"/>
            <w:tcBorders>
              <w:bottom w:val="single" w:sz="4" w:space="0" w:color="auto"/>
            </w:tcBorders>
            <w:shd w:val="clear" w:color="auto" w:fill="C6D9F1" w:themeFill="text2" w:themeFillTint="33"/>
            <w:vAlign w:val="center"/>
            <w:hideMark/>
          </w:tcPr>
          <w:p w:rsidR="0002242F" w:rsidRPr="00C10DC3" w:rsidRDefault="0002242F" w:rsidP="00CC5ABC">
            <w:pPr>
              <w:spacing w:after="0" w:line="240" w:lineRule="auto"/>
              <w:rPr>
                <w:rFonts w:ascii="Arial" w:eastAsia="Times New Roman" w:hAnsi="Arial" w:cs="Arial"/>
                <w:sz w:val="20"/>
                <w:szCs w:val="20"/>
                <w:lang w:val="en-US"/>
              </w:rPr>
            </w:pPr>
            <w:r w:rsidRPr="00C10DC3">
              <w:rPr>
                <w:rFonts w:ascii="Arial" w:eastAsia="Times New Roman" w:hAnsi="Arial" w:cs="Arial"/>
                <w:sz w:val="20"/>
                <w:szCs w:val="20"/>
                <w:lang w:val="en-US"/>
              </w:rPr>
              <w:t>Comments</w:t>
            </w:r>
          </w:p>
        </w:tc>
        <w:tc>
          <w:tcPr>
            <w:tcW w:w="8692" w:type="dxa"/>
            <w:tcBorders>
              <w:bottom w:val="single" w:sz="4" w:space="0" w:color="auto"/>
            </w:tcBorders>
            <w:shd w:val="clear" w:color="auto" w:fill="C6D9F1" w:themeFill="text2" w:themeFillTint="33"/>
            <w:noWrap/>
            <w:vAlign w:val="bottom"/>
            <w:hideMark/>
          </w:tcPr>
          <w:p w:rsidR="0002242F" w:rsidRPr="00C10DC3" w:rsidRDefault="00E34DE3" w:rsidP="00CC5AB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None</w:t>
            </w:r>
          </w:p>
        </w:tc>
      </w:tr>
    </w:tbl>
    <w:p w:rsidR="00803DD0" w:rsidRDefault="00803DD0"/>
    <w:sectPr w:rsidR="00803DD0" w:rsidSect="00312D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158"/>
    <w:multiLevelType w:val="hybridMultilevel"/>
    <w:tmpl w:val="FC7CB6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2F"/>
    <w:rsid w:val="000114B9"/>
    <w:rsid w:val="0002242F"/>
    <w:rsid w:val="00082BF3"/>
    <w:rsid w:val="000C307D"/>
    <w:rsid w:val="001B76AE"/>
    <w:rsid w:val="001B7C18"/>
    <w:rsid w:val="001C5336"/>
    <w:rsid w:val="002D22F7"/>
    <w:rsid w:val="00386CB6"/>
    <w:rsid w:val="00415089"/>
    <w:rsid w:val="00464EB2"/>
    <w:rsid w:val="004C073B"/>
    <w:rsid w:val="004F171A"/>
    <w:rsid w:val="005B4283"/>
    <w:rsid w:val="005E0601"/>
    <w:rsid w:val="00772938"/>
    <w:rsid w:val="007F6193"/>
    <w:rsid w:val="00803DD0"/>
    <w:rsid w:val="00831774"/>
    <w:rsid w:val="00851B13"/>
    <w:rsid w:val="008B752A"/>
    <w:rsid w:val="009224E3"/>
    <w:rsid w:val="00994F6E"/>
    <w:rsid w:val="009C17D2"/>
    <w:rsid w:val="009F3C7A"/>
    <w:rsid w:val="00A24274"/>
    <w:rsid w:val="00A31B5D"/>
    <w:rsid w:val="00BC5CEF"/>
    <w:rsid w:val="00C073CE"/>
    <w:rsid w:val="00C1032B"/>
    <w:rsid w:val="00C10DC3"/>
    <w:rsid w:val="00C7160E"/>
    <w:rsid w:val="00D17C64"/>
    <w:rsid w:val="00DA46EB"/>
    <w:rsid w:val="00E34DE3"/>
    <w:rsid w:val="00E70EF7"/>
    <w:rsid w:val="00E943EC"/>
    <w:rsid w:val="00EC291E"/>
    <w:rsid w:val="00F32D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4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42F"/>
    <w:pPr>
      <w:ind w:left="720"/>
      <w:contextualSpacing/>
    </w:pPr>
  </w:style>
  <w:style w:type="character" w:customStyle="1" w:styleId="span9">
    <w:name w:val="span9"/>
    <w:basedOn w:val="Domylnaczcionkaakapitu"/>
    <w:rsid w:val="00772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4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42F"/>
    <w:pPr>
      <w:ind w:left="720"/>
      <w:contextualSpacing/>
    </w:pPr>
  </w:style>
  <w:style w:type="character" w:customStyle="1" w:styleId="span9">
    <w:name w:val="span9"/>
    <w:basedOn w:val="Domylnaczcionkaakapitu"/>
    <w:rsid w:val="0077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Joanna</cp:lastModifiedBy>
  <cp:revision>2</cp:revision>
  <dcterms:created xsi:type="dcterms:W3CDTF">2016-03-14T11:30:00Z</dcterms:created>
  <dcterms:modified xsi:type="dcterms:W3CDTF">2016-03-14T11:30:00Z</dcterms:modified>
</cp:coreProperties>
</file>